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C585C" w:rsidRDefault="00AC585C">
      <w:r w:rsidRPr="005C6364">
        <w:t xml:space="preserve">Supplemental </w:t>
      </w:r>
      <w:r>
        <w:t>Digital Content 2</w:t>
      </w:r>
    </w:p>
    <w:p w:rsidR="00AC585C" w:rsidRDefault="00AC585C"/>
    <w:p w:rsidR="00AC585C" w:rsidRDefault="00AC585C">
      <w:r w:rsidRPr="005C6364">
        <w:rPr>
          <w:b/>
        </w:rPr>
        <w:t xml:space="preserve">Main </w:t>
      </w:r>
      <w:r>
        <w:rPr>
          <w:b/>
        </w:rPr>
        <w:t>E</w:t>
      </w:r>
      <w:r w:rsidRPr="005C6364">
        <w:rPr>
          <w:b/>
        </w:rPr>
        <w:t>ffects</w:t>
      </w:r>
    </w:p>
    <w:p w:rsidR="00AC585C" w:rsidRDefault="00AC585C"/>
    <w:tbl>
      <w:tblPr>
        <w:tblW w:w="1410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BF"/>
      </w:tblPr>
      <w:tblGrid>
        <w:gridCol w:w="1913"/>
        <w:gridCol w:w="851"/>
        <w:gridCol w:w="4111"/>
        <w:gridCol w:w="7229"/>
      </w:tblGrid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AC585C">
            <w:pPr>
              <w:jc w:val="center"/>
              <w:rPr>
                <w:b/>
                <w:sz w:val="28"/>
              </w:rPr>
            </w:pPr>
            <w:r w:rsidRPr="005C6364">
              <w:rPr>
                <w:b/>
                <w:sz w:val="28"/>
              </w:rPr>
              <w:t xml:space="preserve">Main </w:t>
            </w:r>
            <w:r>
              <w:rPr>
                <w:b/>
                <w:sz w:val="28"/>
              </w:rPr>
              <w:t>E</w:t>
            </w:r>
            <w:r w:rsidRPr="005C6364">
              <w:rPr>
                <w:b/>
                <w:sz w:val="28"/>
              </w:rPr>
              <w:t>ffects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  <w:jc w:val="center"/>
              <w:rPr>
                <w:sz w:val="28"/>
              </w:rPr>
            </w:pPr>
          </w:p>
        </w:tc>
        <w:tc>
          <w:tcPr>
            <w:tcW w:w="411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jc w:val="center"/>
              <w:rPr>
                <w:b/>
                <w:sz w:val="28"/>
              </w:rPr>
            </w:pPr>
            <w:r w:rsidRPr="005C6364">
              <w:rPr>
                <w:b/>
                <w:sz w:val="28"/>
              </w:rPr>
              <w:t>ANOVA-Factors</w:t>
            </w:r>
          </w:p>
        </w:tc>
        <w:tc>
          <w:tcPr>
            <w:tcW w:w="722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72" w:firstLine="69"/>
              <w:jc w:val="center"/>
              <w:rPr>
                <w:sz w:val="28"/>
              </w:rPr>
            </w:pPr>
            <w:r w:rsidRPr="005C6364">
              <w:rPr>
                <w:b/>
                <w:sz w:val="28"/>
              </w:rPr>
              <w:t>Values</w:t>
            </w:r>
            <w:r w:rsidRPr="005C6364">
              <w:rPr>
                <w:sz w:val="28"/>
              </w:rPr>
              <w:t xml:space="preserve"> 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  <w:r w:rsidRPr="005C6364">
              <w:rPr>
                <w:b/>
              </w:rPr>
              <w:t>Control state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  <w:r w:rsidRPr="005C6364">
              <w:t xml:space="preserve">CR 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Hand</w:t>
            </w:r>
            <w:r w:rsidRPr="005C6364">
              <w:t xml:space="preserve">: F (1,19) = 4.7; </w:t>
            </w:r>
            <w:r w:rsidRPr="00A8591F">
              <w:rPr>
                <w:i/>
              </w:rPr>
              <w:t>p</w:t>
            </w:r>
            <w:r>
              <w:t xml:space="preserve"> </w:t>
            </w:r>
            <w:r w:rsidRPr="005C6364">
              <w:t xml:space="preserve">&lt; 0.05 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Right (0.98+/-0.03)</w:t>
            </w:r>
            <w:r w:rsidR="00AC585C" w:rsidRPr="005C6364">
              <w:rPr>
                <w:sz w:val="20"/>
              </w:rPr>
              <w:t xml:space="preserve">; Left (0.97+/-0.04) 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 w:rsidP="005C6364">
            <w:pPr>
              <w:ind w:right="-212"/>
            </w:pPr>
            <w:r w:rsidRPr="005C6364">
              <w:rPr>
                <w:i/>
              </w:rPr>
              <w:t>Viewpoint</w:t>
            </w:r>
            <w:r w:rsidRPr="005C6364">
              <w:t xml:space="preserve">: F (3,57) = 4.9;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0.01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Palm (0.98+/-0.01); Back (0.97+/-0.03); Thumb (0.98+/-0.03); Pinkie</w:t>
            </w:r>
            <w:r w:rsidR="00A8591F">
              <w:rPr>
                <w:sz w:val="20"/>
              </w:rPr>
              <w:t xml:space="preserve"> </w:t>
            </w:r>
            <w:r w:rsidRPr="005C6364">
              <w:rPr>
                <w:sz w:val="20"/>
              </w:rPr>
              <w:t>(0.96+/- 0.03)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vMerge w:val="restart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-212"/>
            </w:pPr>
            <w:r w:rsidRPr="005C6364">
              <w:rPr>
                <w:i/>
              </w:rPr>
              <w:t>Orientation</w:t>
            </w:r>
            <w:r w:rsidRPr="005C6364">
              <w:t xml:space="preserve">: F (1,19) = 20.9;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Natural (0.99+/-0.03)</w:t>
            </w:r>
            <w:r w:rsidR="00AC585C" w:rsidRPr="005C6364">
              <w:rPr>
                <w:sz w:val="20"/>
              </w:rPr>
              <w:t>; Unnatural (0.96+/-0.04)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vMerge/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  <w:r w:rsidRPr="005C6364">
              <w:t>RT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Hand</w:t>
            </w:r>
            <w:r w:rsidRPr="005C6364">
              <w:t xml:space="preserve">: F (1,19) = 7.8;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0.01 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Right (1,177+/-204); Left (1,204+/-210)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 w:rsidP="005C6364">
            <w:pPr>
              <w:ind w:right="-212"/>
            </w:pPr>
            <w:r w:rsidRPr="005C6364">
              <w:rPr>
                <w:i/>
              </w:rPr>
              <w:t>Viewpoint</w:t>
            </w:r>
            <w:r w:rsidRPr="005C6364">
              <w:t xml:space="preserve">: F (3,57) = 15.7;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Palm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179+/-162); Back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178+/-169); Thumb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167+/-184); Pinkie</w:t>
            </w:r>
            <w:r w:rsidR="00A8591F">
              <w:rPr>
                <w:sz w:val="20"/>
              </w:rPr>
              <w:t xml:space="preserve"> </w:t>
            </w:r>
            <w:r w:rsidRPr="005C6364">
              <w:rPr>
                <w:sz w:val="20"/>
              </w:rPr>
              <w:t>(1</w:t>
            </w:r>
            <w:r w:rsidR="00A8591F">
              <w:rPr>
                <w:sz w:val="20"/>
              </w:rPr>
              <w:t>,240+/-190)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-212"/>
            </w:pPr>
            <w:r w:rsidRPr="005C6364">
              <w:rPr>
                <w:i/>
              </w:rPr>
              <w:t>Orientation</w:t>
            </w:r>
            <w:r w:rsidRPr="005C6364">
              <w:t xml:space="preserve">: F (1,19) = 42.7;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Natural (1,095+/-180)</w:t>
            </w:r>
            <w:r w:rsidR="00AC585C" w:rsidRPr="005C6364">
              <w:rPr>
                <w:sz w:val="20"/>
              </w:rPr>
              <w:t>; Unnatural (1</w:t>
            </w:r>
            <w:r>
              <w:rPr>
                <w:sz w:val="20"/>
              </w:rPr>
              <w:t>,287+/-200)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  <w:r w:rsidRPr="005C6364">
              <w:rPr>
                <w:b/>
              </w:rPr>
              <w:t>Acute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  <w:r w:rsidRPr="005C6364">
              <w:t>CR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-70" w:firstLine="70"/>
            </w:pPr>
            <w:r w:rsidRPr="005C6364">
              <w:rPr>
                <w:i/>
              </w:rPr>
              <w:t>Condition</w:t>
            </w:r>
            <w:r w:rsidRPr="005C6364">
              <w:t xml:space="preserve">: F (1,19) = 101.5;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Control (0.97+/-0.</w:t>
            </w:r>
            <w:r w:rsidR="00A8591F">
              <w:rPr>
                <w:sz w:val="20"/>
              </w:rPr>
              <w:t xml:space="preserve">04); </w:t>
            </w:r>
            <w:proofErr w:type="spellStart"/>
            <w:r w:rsidR="00A8591F">
              <w:rPr>
                <w:sz w:val="20"/>
              </w:rPr>
              <w:t>Deafferented</w:t>
            </w:r>
            <w:proofErr w:type="spellEnd"/>
            <w:r w:rsidR="00A8591F">
              <w:rPr>
                <w:sz w:val="20"/>
              </w:rPr>
              <w:t xml:space="preserve"> (0.87+/-0.16)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  <w:r w:rsidRPr="005C6364">
              <w:rPr>
                <w:b/>
              </w:rPr>
              <w:t xml:space="preserve">Peripheral </w:t>
            </w:r>
          </w:p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Hand</w:t>
            </w:r>
            <w:r w:rsidR="00A8591F">
              <w:t>: F (1,19) = 8.5</w:t>
            </w:r>
            <w:r w:rsidRPr="005C6364">
              <w:t xml:space="preserve">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0.009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Right (0</w:t>
            </w:r>
            <w:r w:rsidR="00A8591F">
              <w:rPr>
                <w:sz w:val="20"/>
              </w:rPr>
              <w:t>.93+/-0.08); Left (0.91+/-0.08)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  <w:proofErr w:type="spellStart"/>
            <w:r w:rsidRPr="005C6364">
              <w:rPr>
                <w:b/>
              </w:rPr>
              <w:t>Deafferentation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 w:rsidP="005C6364">
            <w:pPr>
              <w:ind w:right="-212"/>
            </w:pPr>
            <w:r w:rsidRPr="005C6364">
              <w:rPr>
                <w:i/>
              </w:rPr>
              <w:t>Viewpoint</w:t>
            </w:r>
            <w:r w:rsidRPr="005C6364">
              <w:t xml:space="preserve">: F (3,57) = 19;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 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Palm (0.94+/-0.04); Back (0.92+/-0.04); Thumb (0.94+/-0.06); Pinkie</w:t>
            </w:r>
            <w:r w:rsidR="00A8591F">
              <w:rPr>
                <w:sz w:val="20"/>
              </w:rPr>
              <w:t xml:space="preserve"> (0.90+/-0.08)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8591F" w:rsidRDefault="00AC585C">
            <w:r w:rsidRPr="005C6364">
              <w:rPr>
                <w:i/>
              </w:rPr>
              <w:t>Orientation</w:t>
            </w:r>
            <w:r w:rsidRPr="005C6364">
              <w:t xml:space="preserve">: </w:t>
            </w:r>
            <w:proofErr w:type="gramStart"/>
            <w:r w:rsidRPr="005C6364">
              <w:t>F(</w:t>
            </w:r>
            <w:proofErr w:type="gramEnd"/>
            <w:r w:rsidRPr="005C6364">
              <w:t>1,19) = 103.1;</w:t>
            </w:r>
          </w:p>
          <w:p w:rsidR="00AC585C" w:rsidRPr="005C6364" w:rsidRDefault="00AC585C">
            <w:r w:rsidRPr="005C6364">
              <w:t xml:space="preserve"> </w:t>
            </w:r>
            <w:proofErr w:type="gramStart"/>
            <w:r w:rsidR="00A8591F" w:rsidRPr="00A8591F">
              <w:rPr>
                <w:i/>
              </w:rPr>
              <w:t>p</w:t>
            </w:r>
            <w:proofErr w:type="gramEnd"/>
            <w:r w:rsidRPr="005C6364">
              <w:t xml:space="preserve"> &lt; 0.0001 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Natural (0.95+/-0.08); Unnatural (0.89+/-0.08)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  <w:r w:rsidRPr="005C6364">
              <w:t>RT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Condition</w:t>
            </w:r>
            <w:r w:rsidRPr="005C6364">
              <w:t xml:space="preserve">: F (1,19) = 74.5;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</w:t>
            </w:r>
            <w:proofErr w:type="gramStart"/>
            <w:r w:rsidRPr="005C6364">
              <w:t xml:space="preserve">0.0001  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Control (1,191+/-300)</w:t>
            </w:r>
            <w:r w:rsidR="00AC585C" w:rsidRPr="005C6364">
              <w:rPr>
                <w:sz w:val="20"/>
              </w:rPr>
              <w:t xml:space="preserve">; </w:t>
            </w:r>
            <w:proofErr w:type="spellStart"/>
            <w:r w:rsidR="00AC585C" w:rsidRPr="005C6364">
              <w:rPr>
                <w:sz w:val="20"/>
              </w:rPr>
              <w:t>Deafferented</w:t>
            </w:r>
            <w:proofErr w:type="spellEnd"/>
            <w:r w:rsidR="00AC585C" w:rsidRPr="005C6364">
              <w:rPr>
                <w:sz w:val="20"/>
              </w:rPr>
              <w:t xml:space="preserve"> (1</w:t>
            </w:r>
            <w:r>
              <w:rPr>
                <w:sz w:val="20"/>
              </w:rPr>
              <w:t>,</w:t>
            </w:r>
            <w:r w:rsidR="00AC585C" w:rsidRPr="005C6364">
              <w:rPr>
                <w:sz w:val="20"/>
              </w:rPr>
              <w:t>500+/-542)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Hand</w:t>
            </w:r>
            <w:r w:rsidRPr="005C6364">
              <w:t xml:space="preserve">: F (1,19) = 21.4;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 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Right (1</w:t>
            </w:r>
            <w:r w:rsidR="00A8591F">
              <w:rPr>
                <w:sz w:val="20"/>
              </w:rPr>
              <w:t>,316+/-321); Left (1,374+/- 422)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Viewpoint</w:t>
            </w:r>
            <w:r w:rsidRPr="005C6364">
              <w:t xml:space="preserve">: F (3,57) = 15.1;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0.001 </w:t>
            </w:r>
          </w:p>
          <w:p w:rsidR="00A8591F" w:rsidRDefault="00AC585C" w:rsidP="005C6364">
            <w:r w:rsidRPr="005C6364">
              <w:rPr>
                <w:i/>
              </w:rPr>
              <w:t>Orientation</w:t>
            </w:r>
            <w:r w:rsidRPr="005C6364">
              <w:t xml:space="preserve">: F (1,19) = 45.3; </w:t>
            </w:r>
          </w:p>
          <w:p w:rsidR="00AC585C" w:rsidRPr="005C6364" w:rsidRDefault="00A8591F" w:rsidP="005C6364">
            <w:proofErr w:type="gramStart"/>
            <w:r w:rsidRPr="00A8591F">
              <w:rPr>
                <w:i/>
              </w:rPr>
              <w:t>p</w:t>
            </w:r>
            <w:proofErr w:type="gramEnd"/>
            <w:r w:rsidR="00AC585C" w:rsidRPr="005C6364">
              <w:t xml:space="preserve"> &lt; 0.0001 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Palm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319+/-316); Back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342+/-320); Thumb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310+/-475); Pinkie</w:t>
            </w:r>
            <w:r w:rsidR="00A8591F">
              <w:rPr>
                <w:sz w:val="20"/>
              </w:rPr>
              <w:t xml:space="preserve"> </w:t>
            </w:r>
            <w:r w:rsidRPr="005C6364">
              <w:rPr>
                <w:sz w:val="20"/>
              </w:rPr>
              <w:t>(1</w:t>
            </w:r>
            <w:r w:rsidR="00A8591F">
              <w:rPr>
                <w:sz w:val="20"/>
              </w:rPr>
              <w:t>,409+/-401)</w:t>
            </w:r>
          </w:p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Natural (1,228+/-370); Unnatural (1,462+/-540)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  <w:r w:rsidRPr="005C6364">
              <w:rPr>
                <w:b/>
              </w:rPr>
              <w:t>Dominant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  <w:r w:rsidRPr="005C6364">
              <w:t>CR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-70" w:firstLine="70"/>
            </w:pPr>
            <w:r w:rsidRPr="005C6364">
              <w:rPr>
                <w:i/>
              </w:rPr>
              <w:t>Laterality</w:t>
            </w:r>
            <w:r w:rsidRPr="005C6364">
              <w:t xml:space="preserve">: F (1,18) = 4.6;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0.01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Do</w:t>
            </w:r>
            <w:r w:rsidR="00A8591F">
              <w:rPr>
                <w:sz w:val="20"/>
              </w:rPr>
              <w:t xml:space="preserve">minant limb (0.90+/-0.02); </w:t>
            </w:r>
            <w:proofErr w:type="spellStart"/>
            <w:r w:rsidR="00A8591F">
              <w:rPr>
                <w:sz w:val="20"/>
              </w:rPr>
              <w:t>Non</w:t>
            </w:r>
            <w:r w:rsidRPr="005C6364">
              <w:rPr>
                <w:sz w:val="20"/>
              </w:rPr>
              <w:t>dominant</w:t>
            </w:r>
            <w:proofErr w:type="spellEnd"/>
            <w:r w:rsidRPr="005C6364">
              <w:rPr>
                <w:sz w:val="20"/>
              </w:rPr>
              <w:t xml:space="preserve"> limb (0.94+/-0.02)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  <w:r w:rsidRPr="005C6364">
              <w:rPr>
                <w:b/>
              </w:rPr>
              <w:t>Limb</w:t>
            </w:r>
          </w:p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Hand</w:t>
            </w:r>
            <w:r w:rsidRPr="005C6364">
              <w:t xml:space="preserve">: F (1,18) = 6.9;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0.01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Right (0.94+/-0.08); Left (0.91+/-0.04)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  <w:proofErr w:type="spellStart"/>
            <w:r w:rsidRPr="005C6364">
              <w:rPr>
                <w:b/>
              </w:rPr>
              <w:t>Deafferentation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 w:rsidP="005C6364">
            <w:pPr>
              <w:ind w:right="-212"/>
            </w:pPr>
            <w:r w:rsidRPr="005C6364">
              <w:rPr>
                <w:i/>
              </w:rPr>
              <w:t>Viewpoint</w:t>
            </w:r>
            <w:r w:rsidRPr="005C6364">
              <w:t xml:space="preserve">: F (3,54) = 22.7;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 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Palm (0.94+/-0.04); Back (0.91+/-0.04); Thumb (0.94+/-0.04); Pinkie</w:t>
            </w:r>
            <w:r w:rsidR="00A8591F">
              <w:rPr>
                <w:sz w:val="20"/>
              </w:rPr>
              <w:t xml:space="preserve"> (0.90+/-0.04)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vMerge w:val="restart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8591F" w:rsidRDefault="00AC585C">
            <w:r w:rsidRPr="005C6364">
              <w:rPr>
                <w:i/>
              </w:rPr>
              <w:t>Orientation</w:t>
            </w:r>
            <w:r w:rsidRPr="005C6364">
              <w:t xml:space="preserve">: </w:t>
            </w:r>
            <w:proofErr w:type="gramStart"/>
            <w:r w:rsidRPr="005C6364">
              <w:t>F(</w:t>
            </w:r>
            <w:proofErr w:type="gramEnd"/>
            <w:r w:rsidRPr="005C6364">
              <w:t xml:space="preserve">1,18) = 106.7; </w:t>
            </w:r>
          </w:p>
          <w:p w:rsidR="00AC585C" w:rsidRPr="005C6364" w:rsidRDefault="00A8591F">
            <w:proofErr w:type="gramStart"/>
            <w:r w:rsidRPr="00A8591F">
              <w:rPr>
                <w:i/>
              </w:rPr>
              <w:t>p</w:t>
            </w:r>
            <w:proofErr w:type="gramEnd"/>
            <w:r w:rsidR="00AC585C" w:rsidRPr="005C6364">
              <w:t xml:space="preserve"> &lt; 0.0001 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Natural (0.95+/</w:t>
            </w:r>
            <w:r w:rsidR="00A8591F">
              <w:rPr>
                <w:sz w:val="20"/>
              </w:rPr>
              <w:t>-0.08); Unnatural (0.89+/-0.08)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vMerge/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  <w:r w:rsidRPr="005C6364">
              <w:t>RT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Laterality</w:t>
            </w:r>
            <w:r w:rsidRPr="005C6364">
              <w:t xml:space="preserve">: F (1,18) = 10.45;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0.005 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 xml:space="preserve">Dominant limb (1,418+/-156); </w:t>
            </w:r>
            <w:proofErr w:type="spellStart"/>
            <w:r>
              <w:rPr>
                <w:sz w:val="20"/>
              </w:rPr>
              <w:t>Non</w:t>
            </w:r>
            <w:r w:rsidR="00AC585C" w:rsidRPr="005C6364">
              <w:rPr>
                <w:sz w:val="20"/>
              </w:rPr>
              <w:t>dominat</w:t>
            </w:r>
            <w:proofErr w:type="spellEnd"/>
            <w:r w:rsidR="00AC585C" w:rsidRPr="005C6364">
              <w:rPr>
                <w:sz w:val="20"/>
              </w:rPr>
              <w:t xml:space="preserve"> limb (1</w:t>
            </w:r>
            <w:r>
              <w:rPr>
                <w:sz w:val="20"/>
              </w:rPr>
              <w:t>,</w:t>
            </w:r>
            <w:r w:rsidR="00AC585C" w:rsidRPr="005C6364">
              <w:rPr>
                <w:sz w:val="20"/>
              </w:rPr>
              <w:t xml:space="preserve">272+/-154) 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Hand</w:t>
            </w:r>
            <w:r w:rsidRPr="005C6364">
              <w:t xml:space="preserve">: F (1,18) = 36.5;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Right (1,316+/-401); Left (1,378+/-390)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Viewpoint</w:t>
            </w:r>
            <w:r w:rsidRPr="005C6364">
              <w:t xml:space="preserve">: F (3,54) = 9.85;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  <w:p w:rsidR="00AC585C" w:rsidRPr="005C6364" w:rsidRDefault="00AC585C" w:rsidP="005C6364">
            <w:r w:rsidRPr="005C6364">
              <w:rPr>
                <w:i/>
              </w:rPr>
              <w:t>Orientation</w:t>
            </w:r>
            <w:r w:rsidRPr="005C6364">
              <w:t xml:space="preserve">: F (1,18) = 52.2;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</w:t>
            </w:r>
            <w:proofErr w:type="gramStart"/>
            <w:r w:rsidRPr="005C6364">
              <w:t xml:space="preserve">0.0001  </w:t>
            </w:r>
            <w:proofErr w:type="gramEnd"/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A8591F" w:rsidRDefault="00AC585C" w:rsidP="00A8591F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Palm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394+/-284); Back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342+/-256); Thumb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310+/-368); Pinkie</w:t>
            </w:r>
            <w:r w:rsidR="00A8591F">
              <w:rPr>
                <w:sz w:val="20"/>
              </w:rPr>
              <w:t xml:space="preserve"> </w:t>
            </w:r>
          </w:p>
          <w:p w:rsidR="00AC585C" w:rsidRPr="005C6364" w:rsidRDefault="00AC585C" w:rsidP="00A8591F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(</w:t>
            </w:r>
            <w:r w:rsidR="00A8591F">
              <w:rPr>
                <w:sz w:val="20"/>
              </w:rPr>
              <w:t>1,409+/-365)</w:t>
            </w:r>
          </w:p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>Natural (1,228+/-272)</w:t>
            </w:r>
            <w:r w:rsidR="00AC585C" w:rsidRPr="005C6364">
              <w:rPr>
                <w:sz w:val="20"/>
              </w:rPr>
              <w:t>; Unnatural (1</w:t>
            </w:r>
            <w:r>
              <w:rPr>
                <w:sz w:val="20"/>
              </w:rPr>
              <w:t>,462+/-465)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  <w:r w:rsidRPr="005C6364">
              <w:rPr>
                <w:b/>
              </w:rPr>
              <w:t xml:space="preserve">Visual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  <w:r w:rsidRPr="005C6364">
              <w:t>CR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-70" w:firstLine="70"/>
            </w:pPr>
            <w:r w:rsidRPr="005C6364">
              <w:rPr>
                <w:i/>
              </w:rPr>
              <w:t>Condition</w:t>
            </w:r>
            <w:r w:rsidRPr="005C6364">
              <w:t xml:space="preserve">: F (2,36) = 102.7;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 xml:space="preserve">Control (0.97+/- 0.04); </w:t>
            </w:r>
            <w:proofErr w:type="spellStart"/>
            <w:r w:rsidRPr="005C6364">
              <w:rPr>
                <w:sz w:val="20"/>
              </w:rPr>
              <w:t>Deafferented</w:t>
            </w:r>
            <w:proofErr w:type="spellEnd"/>
            <w:r w:rsidRPr="005C6364">
              <w:rPr>
                <w:sz w:val="20"/>
              </w:rPr>
              <w:t xml:space="preserve"> (0.87+/-0.12); Visual information (0.95+/-0.04)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  <w:r w:rsidRPr="005C6364">
              <w:rPr>
                <w:b/>
              </w:rPr>
              <w:t>Information</w:t>
            </w:r>
          </w:p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Laterality</w:t>
            </w:r>
            <w:r w:rsidRPr="005C6364">
              <w:t xml:space="preserve">: F (1,18) = 5.2;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0.03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D</w:t>
            </w:r>
            <w:r w:rsidR="00A8591F">
              <w:rPr>
                <w:sz w:val="20"/>
              </w:rPr>
              <w:t xml:space="preserve">ominant limb (0.92+/-0.02); </w:t>
            </w:r>
            <w:proofErr w:type="spellStart"/>
            <w:r w:rsidR="00A8591F">
              <w:rPr>
                <w:sz w:val="20"/>
              </w:rPr>
              <w:t>Non</w:t>
            </w:r>
            <w:r w:rsidRPr="005C6364">
              <w:rPr>
                <w:sz w:val="20"/>
              </w:rPr>
              <w:t>dominant</w:t>
            </w:r>
            <w:proofErr w:type="spellEnd"/>
            <w:r w:rsidRPr="005C6364">
              <w:rPr>
                <w:sz w:val="20"/>
              </w:rPr>
              <w:t xml:space="preserve"> limb (0.94+/-0.02) 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Hand</w:t>
            </w:r>
            <w:r w:rsidRPr="005C6364">
              <w:t xml:space="preserve">: F (1,18) = 22.6;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Right (0.94+/-0.08); Left (0.92+/-0.04)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 w:rsidP="005C6364">
            <w:pPr>
              <w:ind w:right="-212"/>
            </w:pPr>
            <w:r w:rsidRPr="005C6364">
              <w:rPr>
                <w:i/>
              </w:rPr>
              <w:t>Viewpoint</w:t>
            </w:r>
            <w:r w:rsidRPr="005C6364">
              <w:t xml:space="preserve">: F (3,54) = 44.7;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Palm (0.95+/-0.04; Back (0.92+/-0.04); Thumb (0.95+/-0.08); Pinkie (0.90+/-0.04)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Orientation</w:t>
            </w:r>
            <w:r w:rsidRPr="005C6364">
              <w:t xml:space="preserve">: </w:t>
            </w:r>
            <w:proofErr w:type="gramStart"/>
            <w:r w:rsidRPr="005C6364">
              <w:t>F(</w:t>
            </w:r>
            <w:proofErr w:type="gramEnd"/>
            <w:r w:rsidRPr="005C6364">
              <w:t xml:space="preserve">1,18) = 171.4; </w:t>
            </w:r>
            <w:r w:rsidR="00A8591F">
              <w:br/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Natural (0.96+/-0.04); Unnatural (0.91+/-0.08)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  <w:r w:rsidRPr="005C6364">
              <w:t>RT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Condition</w:t>
            </w:r>
            <w:r w:rsidRPr="005C6364">
              <w:t xml:space="preserve">: F (2,36) = 118.3;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Control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191+/-3</w:t>
            </w:r>
            <w:r w:rsidR="00A8591F">
              <w:rPr>
                <w:sz w:val="20"/>
              </w:rPr>
              <w:t xml:space="preserve">00); </w:t>
            </w:r>
            <w:proofErr w:type="spellStart"/>
            <w:r w:rsidR="00A8591F">
              <w:rPr>
                <w:sz w:val="20"/>
              </w:rPr>
              <w:t>Deafferented</w:t>
            </w:r>
            <w:proofErr w:type="spellEnd"/>
            <w:r w:rsidR="00A8591F">
              <w:rPr>
                <w:sz w:val="20"/>
              </w:rPr>
              <w:t xml:space="preserve"> (1,499+/- 450)</w:t>
            </w:r>
            <w:r w:rsidRPr="005C6364">
              <w:rPr>
                <w:sz w:val="20"/>
              </w:rPr>
              <w:t>; Visual information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196+/-240)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Laterality</w:t>
            </w:r>
            <w:r w:rsidRPr="005C6364">
              <w:t xml:space="preserve">: F (1,18) = 4.6;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0.04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8591F" w:rsidP="005C6364">
            <w:pPr>
              <w:ind w:left="72" w:firstLine="69"/>
              <w:rPr>
                <w:sz w:val="20"/>
              </w:rPr>
            </w:pPr>
            <w:r>
              <w:rPr>
                <w:sz w:val="20"/>
              </w:rPr>
              <w:t xml:space="preserve">Dominant limb (1,340+/-132); </w:t>
            </w:r>
            <w:proofErr w:type="spellStart"/>
            <w:r>
              <w:rPr>
                <w:sz w:val="20"/>
              </w:rPr>
              <w:t>Non</w:t>
            </w:r>
            <w:r w:rsidR="00AC585C" w:rsidRPr="005C6364">
              <w:rPr>
                <w:sz w:val="20"/>
              </w:rPr>
              <w:t>dominant</w:t>
            </w:r>
            <w:proofErr w:type="spellEnd"/>
            <w:r w:rsidR="00AC585C" w:rsidRPr="005C6364">
              <w:rPr>
                <w:sz w:val="20"/>
              </w:rPr>
              <w:t xml:space="preserve"> limb (1</w:t>
            </w:r>
            <w:r>
              <w:rPr>
                <w:sz w:val="20"/>
              </w:rPr>
              <w:t>,</w:t>
            </w:r>
            <w:r w:rsidR="00AC585C" w:rsidRPr="005C6364">
              <w:rPr>
                <w:sz w:val="20"/>
              </w:rPr>
              <w:t xml:space="preserve">245+/-134) 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Hand</w:t>
            </w:r>
            <w:r w:rsidRPr="005C6364">
              <w:t xml:space="preserve">: F (1,18) = 47.9;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Right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270+/-340); Left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320+/-238)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shd w:val="clear" w:color="auto" w:fill="auto"/>
          </w:tcPr>
          <w:p w:rsidR="00AC585C" w:rsidRPr="005C6364" w:rsidRDefault="00AC585C"/>
        </w:tc>
        <w:tc>
          <w:tcPr>
            <w:tcW w:w="851" w:type="dxa"/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shd w:val="clear" w:color="auto" w:fill="auto"/>
          </w:tcPr>
          <w:p w:rsidR="00AC585C" w:rsidRPr="005C6364" w:rsidRDefault="00AC585C" w:rsidP="005C6364">
            <w:r w:rsidRPr="005C6364">
              <w:rPr>
                <w:i/>
              </w:rPr>
              <w:t>Viewpoint</w:t>
            </w:r>
            <w:r w:rsidRPr="005C6364">
              <w:t xml:space="preserve">: F (3,54) = 24.1; </w:t>
            </w:r>
            <w:r w:rsidR="00A8591F" w:rsidRPr="00A8591F">
              <w:rPr>
                <w:i/>
              </w:rPr>
              <w:t>p</w:t>
            </w:r>
            <w:r w:rsidRPr="005C6364">
              <w:t xml:space="preserve"> &lt; 0.0001</w:t>
            </w:r>
          </w:p>
        </w:tc>
        <w:tc>
          <w:tcPr>
            <w:tcW w:w="7229" w:type="dxa"/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Palm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273+/-288); Back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286+/-240); Thumb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265+/-322); Pinkie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357</w:t>
            </w:r>
            <w:r w:rsidR="00A8591F" w:rsidRPr="005C6364">
              <w:rPr>
                <w:sz w:val="20"/>
              </w:rPr>
              <w:t>+/-</w:t>
            </w:r>
            <w:r w:rsidRPr="005C6364">
              <w:rPr>
                <w:sz w:val="20"/>
              </w:rPr>
              <w:t>334)</w:t>
            </w:r>
          </w:p>
        </w:tc>
      </w:tr>
      <w:tr w:rsidR="00AC585C" w:rsidRPr="005C6364">
        <w:tblPrEx>
          <w:tblCellMar>
            <w:top w:w="0" w:type="dxa"/>
            <w:bottom w:w="0" w:type="dxa"/>
          </w:tblCellMar>
        </w:tblPrEx>
        <w:tc>
          <w:tcPr>
            <w:tcW w:w="1913" w:type="dxa"/>
            <w:tcBorders>
              <w:bottom w:val="single" w:sz="24" w:space="0" w:color="auto"/>
            </w:tcBorders>
            <w:shd w:val="clear" w:color="auto" w:fill="auto"/>
          </w:tcPr>
          <w:p w:rsidR="00AC585C" w:rsidRPr="005C6364" w:rsidRDefault="00AC585C"/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right="72"/>
            </w:pPr>
          </w:p>
        </w:tc>
        <w:tc>
          <w:tcPr>
            <w:tcW w:w="4111" w:type="dxa"/>
            <w:tcBorders>
              <w:bottom w:val="single" w:sz="24" w:space="0" w:color="auto"/>
            </w:tcBorders>
            <w:shd w:val="clear" w:color="auto" w:fill="auto"/>
          </w:tcPr>
          <w:p w:rsidR="00AC585C" w:rsidRPr="005C6364" w:rsidRDefault="00AC585C">
            <w:r w:rsidRPr="005C6364">
              <w:rPr>
                <w:i/>
              </w:rPr>
              <w:t>Orientation</w:t>
            </w:r>
            <w:r w:rsidRPr="005C6364">
              <w:t xml:space="preserve">: F (1,18) = 63.7; </w:t>
            </w:r>
            <w:r w:rsidR="00A8591F" w:rsidRPr="00A8591F">
              <w:rPr>
                <w:i/>
              </w:rPr>
              <w:t>p</w:t>
            </w:r>
            <w:r w:rsidR="00A8591F" w:rsidRPr="005C6364">
              <w:t xml:space="preserve"> </w:t>
            </w:r>
            <w:r w:rsidRPr="005C6364">
              <w:t>&lt; 0.0001</w:t>
            </w:r>
          </w:p>
        </w:tc>
        <w:tc>
          <w:tcPr>
            <w:tcW w:w="7229" w:type="dxa"/>
            <w:tcBorders>
              <w:bottom w:val="single" w:sz="24" w:space="0" w:color="auto"/>
            </w:tcBorders>
            <w:shd w:val="clear" w:color="auto" w:fill="auto"/>
          </w:tcPr>
          <w:p w:rsidR="00AC585C" w:rsidRPr="005C6364" w:rsidRDefault="00AC585C" w:rsidP="005C6364">
            <w:pPr>
              <w:ind w:left="72" w:firstLine="69"/>
              <w:rPr>
                <w:sz w:val="20"/>
              </w:rPr>
            </w:pPr>
            <w:r w:rsidRPr="005C6364">
              <w:rPr>
                <w:sz w:val="20"/>
              </w:rPr>
              <w:t>Natural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185+/-244); Unnatural (1</w:t>
            </w:r>
            <w:r w:rsidR="00A8591F">
              <w:rPr>
                <w:sz w:val="20"/>
              </w:rPr>
              <w:t>,</w:t>
            </w:r>
            <w:r w:rsidRPr="005C6364">
              <w:rPr>
                <w:sz w:val="20"/>
              </w:rPr>
              <w:t>405+/-324)</w:t>
            </w:r>
          </w:p>
        </w:tc>
      </w:tr>
    </w:tbl>
    <w:p w:rsidR="00AC585C" w:rsidRDefault="00AC585C"/>
    <w:p w:rsidR="00AC585C" w:rsidRPr="005C6364" w:rsidRDefault="00AC585C" w:rsidP="00AC585C">
      <w:pPr>
        <w:ind w:left="567" w:right="561"/>
        <w:jc w:val="both"/>
      </w:pPr>
      <w:r w:rsidRPr="005C6364">
        <w:t xml:space="preserve">In order to assess the effects of regional anesthesia on subject’s performance, ANOVAs for repeated measures were run on </w:t>
      </w:r>
      <w:proofErr w:type="spellStart"/>
      <w:r w:rsidRPr="005C6364">
        <w:t>RTs</w:t>
      </w:r>
      <w:proofErr w:type="spellEnd"/>
      <w:r w:rsidRPr="005C6364">
        <w:t xml:space="preserve"> (responses times) and CR (proportion of correct responses) for all the subjects during studied conditions.</w:t>
      </w:r>
    </w:p>
    <w:p w:rsidR="00AC585C" w:rsidRDefault="00AC585C"/>
    <w:p w:rsidR="00D63AA2" w:rsidRDefault="00A8591F"/>
    <w:sectPr w:rsidR="00D63AA2" w:rsidSect="00AC585C">
      <w:pgSz w:w="15840" w:h="12240" w:orient="landscape"/>
      <w:pgMar w:top="1440" w:right="1440" w:bottom="1440" w:left="72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AC585C"/>
    <w:rsid w:val="00A8591F"/>
    <w:rsid w:val="00AC585C"/>
  </w:rsids>
  <m:mathPr>
    <m:mathFont m:val="Arial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6C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2959</Characters>
  <Application>Microsoft Word 12.1.0</Application>
  <DocSecurity>0</DocSecurity>
  <Lines>24</Lines>
  <Paragraphs>5</Paragraphs>
  <ScaleCrop>false</ScaleCrop>
  <Company>UI Healthcare</Company>
  <LinksUpToDate>false</LinksUpToDate>
  <CharactersWithSpaces>3633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Farrington-Howrey</dc:creator>
  <cp:keywords/>
  <cp:lastModifiedBy>Vicky Farrington-Howrey</cp:lastModifiedBy>
  <cp:revision>2</cp:revision>
  <dcterms:created xsi:type="dcterms:W3CDTF">2010-08-12T14:18:00Z</dcterms:created>
  <dcterms:modified xsi:type="dcterms:W3CDTF">2010-08-12T14:18:00Z</dcterms:modified>
</cp:coreProperties>
</file>