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B4" w:rsidRPr="0023428D" w:rsidRDefault="00AC52B4" w:rsidP="00AC52B4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23428D">
        <w:rPr>
          <w:rFonts w:ascii="Times New Roman" w:eastAsia="Times New Roman" w:hAnsi="Times New Roman" w:cs="Times New Roman"/>
          <w:b/>
          <w:bCs/>
        </w:rPr>
        <w:t>Impact of intravenous acetaminophen on postoperative pain management in open colectomies</w:t>
      </w:r>
    </w:p>
    <w:p w:rsidR="00AC52B4" w:rsidRPr="0023428D" w:rsidRDefault="00AC52B4" w:rsidP="00AC52B4">
      <w:pPr>
        <w:spacing w:line="480" w:lineRule="auto"/>
        <w:rPr>
          <w:rFonts w:ascii="Times New Roman" w:hAnsi="Times New Roman" w:cs="Times New Roman"/>
        </w:rPr>
      </w:pPr>
    </w:p>
    <w:p w:rsidR="00AC52B4" w:rsidRPr="0023428D" w:rsidRDefault="00AC52B4" w:rsidP="00AC52B4">
      <w:pPr>
        <w:spacing w:line="480" w:lineRule="auto"/>
        <w:rPr>
          <w:rFonts w:ascii="Times New Roman" w:eastAsia="Times New Roman" w:hAnsi="Times New Roman" w:cs="Times New Roman"/>
        </w:rPr>
      </w:pPr>
      <w:r w:rsidRPr="0023428D">
        <w:rPr>
          <w:rFonts w:ascii="Times New Roman" w:eastAsia="Times New Roman" w:hAnsi="Times New Roman" w:cs="Times New Roman"/>
        </w:rPr>
        <w:t xml:space="preserve">Isaac Wasserman MPH, Jashvant Poeran MD PhD, Nicole Zubizarreta MPH, Jason Babby </w:t>
      </w:r>
      <w:proofErr w:type="spellStart"/>
      <w:r w:rsidRPr="0023428D">
        <w:rPr>
          <w:rFonts w:ascii="Times New Roman" w:eastAsia="Times New Roman" w:hAnsi="Times New Roman" w:cs="Times New Roman"/>
        </w:rPr>
        <w:t>PharmD</w:t>
      </w:r>
      <w:proofErr w:type="spellEnd"/>
      <w:r w:rsidRPr="0023428D">
        <w:rPr>
          <w:rFonts w:ascii="Times New Roman" w:eastAsia="Times New Roman" w:hAnsi="Times New Roman" w:cs="Times New Roman"/>
        </w:rPr>
        <w:t xml:space="preserve"> BCPS, </w:t>
      </w:r>
      <w:proofErr w:type="spellStart"/>
      <w:r w:rsidRPr="0023428D">
        <w:rPr>
          <w:rFonts w:ascii="Times New Roman" w:eastAsia="Times New Roman" w:hAnsi="Times New Roman" w:cs="Times New Roman"/>
        </w:rPr>
        <w:t>Stelian</w:t>
      </w:r>
      <w:proofErr w:type="spellEnd"/>
      <w:r w:rsidRPr="002342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3428D">
        <w:rPr>
          <w:rFonts w:ascii="Times New Roman" w:eastAsia="Times New Roman" w:hAnsi="Times New Roman" w:cs="Times New Roman"/>
        </w:rPr>
        <w:t>Serban</w:t>
      </w:r>
      <w:proofErr w:type="spellEnd"/>
      <w:r w:rsidRPr="0023428D">
        <w:rPr>
          <w:rFonts w:ascii="Times New Roman" w:eastAsia="Times New Roman" w:hAnsi="Times New Roman" w:cs="Times New Roman"/>
        </w:rPr>
        <w:t xml:space="preserve"> MD, Andrew T. Goldberg MD, Alexander J. Greenstein MD, Stavros G. Memtsoudis MD PhD, Madhu Mazumdar PhD, Andrew B. Leibowitz MD</w:t>
      </w:r>
    </w:p>
    <w:p w:rsidR="00AC52B4" w:rsidRPr="0023428D" w:rsidRDefault="00AC52B4" w:rsidP="00426CA1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:rsidR="00AC52B4" w:rsidRPr="0023428D" w:rsidRDefault="00AC52B4" w:rsidP="00426CA1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428D"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SUPPLEMENTARY DIGITAL MATERIAL</w:t>
      </w:r>
    </w:p>
    <w:p w:rsidR="00AC52B4" w:rsidRPr="0023428D" w:rsidRDefault="00CB05C8" w:rsidP="00AC52B4">
      <w:pPr>
        <w:spacing w:line="480" w:lineRule="auto"/>
        <w:rPr>
          <w:rFonts w:ascii="Times New Roman" w:eastAsia="Times New Roman" w:hAnsi="Times New Roman" w:cs="Times New Roman"/>
          <w:bCs/>
        </w:rPr>
      </w:pPr>
      <w:r w:rsidRPr="0023428D">
        <w:rPr>
          <w:rFonts w:ascii="Times New Roman" w:eastAsia="Times New Roman" w:hAnsi="Times New Roman" w:cs="Times New Roman"/>
          <w:bCs/>
        </w:rPr>
        <w:t>Table A.</w:t>
      </w:r>
      <w:r w:rsidR="00AC52B4" w:rsidRPr="0023428D">
        <w:t xml:space="preserve"> </w:t>
      </w:r>
      <w:r w:rsidR="00AC52B4" w:rsidRPr="0023428D">
        <w:rPr>
          <w:rFonts w:ascii="Times New Roman" w:eastAsia="Times New Roman" w:hAnsi="Times New Roman" w:cs="Times New Roman"/>
          <w:bCs/>
        </w:rPr>
        <w:t xml:space="preserve">Full P-values from manuscript Table 3; </w:t>
      </w:r>
      <w:r w:rsidR="000A0FA2">
        <w:rPr>
          <w:rFonts w:ascii="Times New Roman" w:eastAsia="Times New Roman" w:hAnsi="Times New Roman" w:cs="Times New Roman"/>
          <w:bCs/>
        </w:rPr>
        <w:t>odds ratio</w:t>
      </w:r>
      <w:r w:rsidR="00AC52B4" w:rsidRPr="0023428D">
        <w:rPr>
          <w:rFonts w:ascii="Times New Roman" w:eastAsia="Times New Roman" w:hAnsi="Times New Roman" w:cs="Times New Roman"/>
          <w:bCs/>
        </w:rPr>
        <w:t xml:space="preserve">s for binary variables, for continuous outcomes </w:t>
      </w:r>
      <w:proofErr w:type="spellStart"/>
      <w:r w:rsidR="00AC52B4" w:rsidRPr="0023428D">
        <w:rPr>
          <w:rFonts w:ascii="Times New Roman" w:eastAsia="Times New Roman" w:hAnsi="Times New Roman" w:cs="Times New Roman"/>
          <w:bCs/>
        </w:rPr>
        <w:t>exponentiated</w:t>
      </w:r>
      <w:proofErr w:type="spellEnd"/>
      <w:r w:rsidR="00AC52B4" w:rsidRPr="0023428D">
        <w:rPr>
          <w:rFonts w:ascii="Times New Roman" w:eastAsia="Times New Roman" w:hAnsi="Times New Roman" w:cs="Times New Roman"/>
          <w:bCs/>
        </w:rPr>
        <w:t xml:space="preserve"> coefficients from the log model depicting % change compared to reference.</w:t>
      </w:r>
    </w:p>
    <w:p w:rsidR="00AC52B4" w:rsidRPr="0023428D" w:rsidRDefault="00CB05C8" w:rsidP="00AC52B4">
      <w:pPr>
        <w:spacing w:line="480" w:lineRule="auto"/>
        <w:rPr>
          <w:rFonts w:ascii="Times New Roman" w:eastAsia="Times New Roman" w:hAnsi="Times New Roman" w:cs="Times New Roman"/>
          <w:bCs/>
        </w:rPr>
      </w:pPr>
      <w:r w:rsidRPr="0023428D">
        <w:rPr>
          <w:rFonts w:ascii="Times New Roman" w:eastAsia="Times New Roman" w:hAnsi="Times New Roman" w:cs="Times New Roman"/>
          <w:bCs/>
        </w:rPr>
        <w:t xml:space="preserve">Table B. </w:t>
      </w:r>
      <w:r w:rsidR="00AC52B4" w:rsidRPr="0023428D">
        <w:rPr>
          <w:rFonts w:ascii="Times New Roman" w:eastAsia="Times New Roman" w:hAnsi="Times New Roman" w:cs="Times New Roman"/>
          <w:bCs/>
        </w:rPr>
        <w:t xml:space="preserve">Full model coefficients from multivariable models depicted in manuscript Table 3 and Table 4; </w:t>
      </w:r>
      <w:r w:rsidR="000A0FA2">
        <w:rPr>
          <w:rFonts w:ascii="Times New Roman" w:eastAsia="Times New Roman" w:hAnsi="Times New Roman" w:cs="Times New Roman"/>
          <w:bCs/>
        </w:rPr>
        <w:t>odds ratios</w:t>
      </w:r>
      <w:r w:rsidR="00AC52B4" w:rsidRPr="0023428D">
        <w:rPr>
          <w:rFonts w:ascii="Times New Roman" w:eastAsia="Times New Roman" w:hAnsi="Times New Roman" w:cs="Times New Roman"/>
          <w:bCs/>
        </w:rPr>
        <w:t xml:space="preserve"> for binary variables, for continuous outcomes </w:t>
      </w:r>
      <w:proofErr w:type="spellStart"/>
      <w:r w:rsidR="00AC52B4" w:rsidRPr="0023428D">
        <w:rPr>
          <w:rFonts w:ascii="Times New Roman" w:eastAsia="Times New Roman" w:hAnsi="Times New Roman" w:cs="Times New Roman"/>
          <w:bCs/>
        </w:rPr>
        <w:t>exponentiated</w:t>
      </w:r>
      <w:proofErr w:type="spellEnd"/>
      <w:r w:rsidR="00AC52B4" w:rsidRPr="0023428D">
        <w:rPr>
          <w:rFonts w:ascii="Times New Roman" w:eastAsia="Times New Roman" w:hAnsi="Times New Roman" w:cs="Times New Roman"/>
          <w:bCs/>
        </w:rPr>
        <w:t xml:space="preserve"> coefficients from the log model depicting % change compared to reference.</w:t>
      </w:r>
      <w:r w:rsidR="00AC52B4" w:rsidRPr="0023428D">
        <w:rPr>
          <w:rFonts w:ascii="Times New Roman" w:eastAsia="Times New Roman" w:hAnsi="Times New Roman" w:cs="Times New Roman"/>
          <w:bCs/>
        </w:rPr>
        <w:br w:type="page"/>
      </w:r>
    </w:p>
    <w:p w:rsidR="00C25E4F" w:rsidRPr="0023428D" w:rsidRDefault="00CB05C8" w:rsidP="00C164F7">
      <w:pPr>
        <w:rPr>
          <w:rFonts w:ascii="Times New Roman" w:eastAsia="Times New Roman" w:hAnsi="Times New Roman" w:cs="Times New Roman"/>
          <w:b/>
          <w:bCs/>
        </w:rPr>
      </w:pPr>
      <w:r w:rsidRPr="0023428D">
        <w:rPr>
          <w:rFonts w:ascii="Times New Roman" w:eastAsia="Times New Roman" w:hAnsi="Times New Roman" w:cs="Times New Roman"/>
          <w:b/>
          <w:bCs/>
        </w:rPr>
        <w:lastRenderedPageBreak/>
        <w:t xml:space="preserve">Table A. </w:t>
      </w:r>
      <w:r w:rsidR="00C164F7" w:rsidRPr="0023428D">
        <w:rPr>
          <w:rFonts w:ascii="Times New Roman" w:eastAsia="Times New Roman" w:hAnsi="Times New Roman" w:cs="Times New Roman"/>
          <w:b/>
          <w:bCs/>
        </w:rPr>
        <w:t xml:space="preserve">Full P-values </w:t>
      </w:r>
      <w:r w:rsidR="00AC52B4" w:rsidRPr="0023428D">
        <w:rPr>
          <w:rFonts w:ascii="Times New Roman" w:eastAsia="Times New Roman" w:hAnsi="Times New Roman" w:cs="Times New Roman"/>
          <w:b/>
          <w:bCs/>
        </w:rPr>
        <w:t>from</w:t>
      </w:r>
      <w:r w:rsidR="00C164F7" w:rsidRPr="0023428D">
        <w:rPr>
          <w:rFonts w:ascii="Times New Roman" w:eastAsia="Times New Roman" w:hAnsi="Times New Roman" w:cs="Times New Roman"/>
          <w:b/>
          <w:bCs/>
        </w:rPr>
        <w:t xml:space="preserve"> manuscript Table 3; </w:t>
      </w:r>
      <w:r w:rsidR="000A0FA2">
        <w:rPr>
          <w:rFonts w:ascii="Times New Roman" w:eastAsia="Times New Roman" w:hAnsi="Times New Roman" w:cs="Times New Roman"/>
          <w:b/>
          <w:bCs/>
        </w:rPr>
        <w:t>odds ratio</w:t>
      </w:r>
      <w:r w:rsidR="00C164F7" w:rsidRPr="0023428D">
        <w:rPr>
          <w:rFonts w:ascii="Times New Roman" w:eastAsia="Times New Roman" w:hAnsi="Times New Roman" w:cs="Times New Roman"/>
          <w:b/>
          <w:bCs/>
        </w:rPr>
        <w:t xml:space="preserve">s for binary variables, for continuous outcomes </w:t>
      </w:r>
      <w:proofErr w:type="spellStart"/>
      <w:r w:rsidR="00C164F7" w:rsidRPr="0023428D">
        <w:rPr>
          <w:rFonts w:ascii="Times New Roman" w:eastAsia="Times New Roman" w:hAnsi="Times New Roman" w:cs="Times New Roman"/>
          <w:b/>
          <w:bCs/>
        </w:rPr>
        <w:t>exponentiated</w:t>
      </w:r>
      <w:proofErr w:type="spellEnd"/>
      <w:r w:rsidR="00C164F7" w:rsidRPr="0023428D">
        <w:rPr>
          <w:rFonts w:ascii="Times New Roman" w:eastAsia="Times New Roman" w:hAnsi="Times New Roman" w:cs="Times New Roman"/>
          <w:b/>
          <w:bCs/>
        </w:rPr>
        <w:t xml:space="preserve"> coefficients from the log model depicting % change </w:t>
      </w:r>
      <w:r w:rsidR="00C25E4F" w:rsidRPr="0023428D">
        <w:rPr>
          <w:rFonts w:ascii="Times New Roman" w:eastAsia="Times New Roman" w:hAnsi="Times New Roman" w:cs="Times New Roman"/>
          <w:b/>
          <w:bCs/>
        </w:rPr>
        <w:t>compared to reference.</w:t>
      </w:r>
    </w:p>
    <w:p w:rsidR="00C25E4F" w:rsidRPr="0023428D" w:rsidRDefault="00C25E4F" w:rsidP="00C164F7">
      <w:pPr>
        <w:rPr>
          <w:rFonts w:ascii="Times New Roman" w:eastAsia="Times New Roman" w:hAnsi="Times New Roman" w:cs="Times New Roman"/>
          <w:bCs/>
        </w:rPr>
      </w:pP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2660"/>
        <w:gridCol w:w="2120"/>
        <w:gridCol w:w="905"/>
        <w:gridCol w:w="2160"/>
        <w:gridCol w:w="990"/>
      </w:tblGrid>
      <w:tr w:rsidR="00364C85" w:rsidRPr="0023428D" w:rsidTr="00077439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IV APAP &gt;&gt;&gt;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DAY OF SURGERY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dose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&gt;1 dose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CONTINUOUS OUTCOMES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Morphine Equivalents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-3.2% (-5.4; -1.0%)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-8.0% (-11.0; -4.9%)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Hospital Stay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-7.8% (-9.2; -6.3%)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-10.4% (-12.5; -8.2%)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 of Hospitalization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-10.6% (-12.3; -8.9%)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-10.0% (-12.5; -7.4%)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OPIOID RELATED ADVERSE EFFECTS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Respiratory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0.67 (0.61, 0.74)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0.66 (0.57, 0.76)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Gastrointestinal (excl. Ileus)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0.96 (0.80, 1.15)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0.89 (0.68, 1.15)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0.99 (0.93, 1.05)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0.93 (0.85, 1.02)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0.3110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 Nervous System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0.81 (0.69, 0.97)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0.0080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0.83 (0.65, 1.06)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0.3440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Genitourinary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0.95 (0.84, 1.08)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1.04 (0.87, 1.24)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0.85 (0.71, 1.01)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0.0900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0.85 (0.66, 1.10)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0.7600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Naloxone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0.91 (0.78, 1.06)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0.7280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0.95 (0.77, 1.17)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IV APAP &gt;&gt;&gt;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POSTOPERATIVE DAY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dose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&gt;1 dose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CONTINUOUS OUTCOMES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Morphine Equivalents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-4.4% (-8.2; -0.4%)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0.2300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-12.4% (-15.2; -9.4%)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Hospital Stay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-7.5% (-10.1; -4.7%)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-15.1% (-17.1; -13.1%)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 of Hospitalization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-3.6% (-6.9; -0.2%)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0.0320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-14.4% (-16.8; -12.0%)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OPIOID RELATED ADVERSE EFFECTS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Respiratory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1.08 (0.93, 1.25)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0.68 (0.60, 0.78)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Gastrointestinal (excl. Ileus)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1.00 (0.73, 1.39)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0.98 (0.75, 1.26)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0.83 (0.74, 0.93)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0.76 (0.69, 0.83)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 Nervous System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1.06 (0.80, 1.39)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0.78 (0.62, 0.98)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0.0200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Genitourinary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0.99 (0.79, 1.23)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1.01 (0.85, 1.20)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0.82 (0.59, 1.13)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0.8020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0.85 (0.66, 1.09)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0.6260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Naloxone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1.12 (0.87, 1.44)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0.91 (0.73, 1.12)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IV APAP &gt;&gt;&gt;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</w:rPr>
              <w:t>≥2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dose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&gt;1 dose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CONTINUOUS OUTCOMES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Morphine Equivalents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23.1% (17.9; 28.6%)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33.7% (29.8; 37.7%)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Hospital Stay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20.3% (16.7; 24.1%)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36.4% (33.5; 39.3%)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 of Hospitalization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25.4% (20.9; 30.1%)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37.8% (34.4; 41.3%)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OPIOID RELATED ADVERSE EFFECTS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Respiratory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1.61 (1.39, 1.87)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1.66 (1.50, 1.84)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Gastrointestinal (excl. Ileus)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0.98 (0.69, 1.39)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1.39 (1.12, 1.72)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1.33 (1.18, 1.49)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1.71 (1.58, 1.84)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 Nervous System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1.55 (1.19, 2.01)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1.75 (1.47, 2.09)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Genitourinary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1.07 (0.85, 1.35)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1.24 (1.07, 1.44)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1.35 (1.00, 1.82)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0.0510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1.48 (1.21, 1.81)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D47106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Naloxone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1.17 (0.89, 1.54)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1.23 (1.03, 1.48)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0.0130</w:t>
            </w:r>
          </w:p>
        </w:tc>
      </w:tr>
    </w:tbl>
    <w:p w:rsidR="00C25E4F" w:rsidRPr="0023428D" w:rsidRDefault="00C25E4F" w:rsidP="00C164F7">
      <w:pPr>
        <w:rPr>
          <w:rFonts w:ascii="Times New Roman" w:eastAsia="Times New Roman" w:hAnsi="Times New Roman" w:cs="Times New Roman"/>
          <w:b/>
          <w:bCs/>
        </w:rPr>
      </w:pPr>
    </w:p>
    <w:p w:rsidR="00AC52B4" w:rsidRPr="0023428D" w:rsidRDefault="00AC52B4">
      <w:pPr>
        <w:rPr>
          <w:rFonts w:ascii="Times New Roman" w:eastAsia="Times New Roman" w:hAnsi="Times New Roman" w:cs="Times New Roman"/>
          <w:b/>
          <w:bCs/>
        </w:rPr>
      </w:pPr>
      <w:r w:rsidRPr="0023428D">
        <w:rPr>
          <w:rFonts w:ascii="Times New Roman" w:eastAsia="Times New Roman" w:hAnsi="Times New Roman" w:cs="Times New Roman"/>
          <w:b/>
          <w:bCs/>
        </w:rPr>
        <w:br w:type="page"/>
      </w:r>
    </w:p>
    <w:tbl>
      <w:tblPr>
        <w:tblW w:w="8745" w:type="dxa"/>
        <w:tblInd w:w="93" w:type="dxa"/>
        <w:tblLook w:val="04A0" w:firstRow="1" w:lastRow="0" w:firstColumn="1" w:lastColumn="0" w:noHBand="0" w:noVBand="1"/>
      </w:tblPr>
      <w:tblGrid>
        <w:gridCol w:w="2660"/>
        <w:gridCol w:w="2120"/>
        <w:gridCol w:w="905"/>
        <w:gridCol w:w="2160"/>
        <w:gridCol w:w="900"/>
      </w:tblGrid>
      <w:tr w:rsidR="00364C85" w:rsidRPr="0023428D" w:rsidTr="00077439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Use of Oral APAP &gt;&gt;&gt;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DAY OF SURGERY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dose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&gt;1 dose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CONTINUOUS OUTCOMES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Morphine Equivalents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1.4% (-1.9; 4.9%)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-8.7% (-14.4; -2.7%)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Hospital Stay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2.5% (0.0; 5.0%)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0.0430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-4.1% (-8.3; 0.4%)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0.1000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 of Hospitalization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4.3% (1.4; 7.4%)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0.1% (-5.1; 5.7%)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OPIOID RELATED ADVERSE EFFECTS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Respiratory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1.10 (0.98, 1.23)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0.2560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0.96 (0.75, 1.24)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Gastrointestinal (excl. Ileus)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0.98 (0.75, 1.28)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1.12 (0.68, 1.84)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1.09 (0.99, 1.19)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0.0940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1.00 (0.84, 1.18)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 Nervous System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0.96 (0.76, 1.20)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0.86 (0.53, 1.38)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Genitourinary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1.06 (0.88, 1.26)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1.02 (0.73, 1.44)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1.23 (0.98, 1.54)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0.1280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1.08 (0.67, 1.73)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Naloxone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0.96 (0.77, 1.19)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1.64 (1.17, 2.30)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Oral APAP &gt;&gt;&gt;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POSTOPERATIVE DAY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dose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&gt;1 dose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CONTINUOUS OUTCOMES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Morphine Equivalents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-10.8% (-13.7; -7.8%)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-22.6% (-26.2; -18.9%)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Hospital Stay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-12.2% (-14.3; -10.1%)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-28.4% (-30.8; -26.0%)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 of Hospitalization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-11.4% (-13.8; -8.8%)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-26.4% (-29.3; -23.4%)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OPIOID RELATED ADVERSE EFFECTS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Respiratory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0.85 (0.76, 0.96)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0.0020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0.55 (0.45, 0.67)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Gastrointestinal (excl. Ileus)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0.90 (0.69, 1.18)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0.78 (0.53, 1.15)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0.6740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0.89 (0.82, 0.98)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0.0050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0.73 (0.65, 0.84)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 Nervous System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0.87 (0.69, 1.09)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0.8660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0.48 (0.33, 0.70)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Genitourinary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1.00 (0.83, 1.19)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0.77 (0.59, 1.00)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0.0430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0.88 (0.69, 1.12)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0.74 (0.51, 1.07)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0.2100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Naloxone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0.99 (0.81, 1.21)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&gt;0.999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0.70 (0.51, 0.95)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0.0090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Oral APAP &gt;&gt;&gt;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</w:rPr>
              <w:t>≥2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dose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&gt;1 dose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CONTINUOUS OUTCOMES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Morphine Equivalents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12.6% (10.1; 15.2%)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22.7% (20.3; 25.2%)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Hospital Stay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25.3% (23.3; 27.4%)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57.6% (55.4; 59.9%)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Cost of Hospitalization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24.7% (22.3; 27.2%)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52.8% (50.2; 55.5%)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OPIOID RELATED ADVERSE EFFECTS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Respiratory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1.30 (1.20, 1.40)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1.58 (1.48, 1.69)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Gastrointestinal (excl. Ileus)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1.24 (1.05, 1.48)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0.0030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1.29 (1.11, 1.50)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1.28 (1.20, 1.36)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1.56 (1.48, 1.64)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 Nervous System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1.32 (1.14, 1.52)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1.88 (1.68, 2.11)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Genitourinary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1.31 (1.17, 1.48)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1.44 (1.30, 1.60)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364C85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1.21 (1.04, 1.41)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0.0030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1.29 (1.13, 1.46)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  <w:tr w:rsidR="00D47106" w:rsidRPr="0023428D" w:rsidTr="00077439">
        <w:trPr>
          <w:trHeight w:val="26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Naloxone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1.33 (1.16, 1.52)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1.54 (1.37, 1.72)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28D">
              <w:rPr>
                <w:rFonts w:ascii="Times New Roman" w:eastAsia="Times New Roman" w:hAnsi="Times New Roman" w:cs="Times New Roman"/>
                <w:sz w:val="20"/>
                <w:szCs w:val="20"/>
              </w:rPr>
              <w:t>&lt;.0001</w:t>
            </w:r>
          </w:p>
        </w:tc>
      </w:tr>
    </w:tbl>
    <w:p w:rsidR="00AC52B4" w:rsidRPr="0023428D" w:rsidRDefault="00AC52B4" w:rsidP="00EA1959">
      <w:pPr>
        <w:rPr>
          <w:rFonts w:ascii="Times New Roman" w:hAnsi="Times New Roman" w:cs="Times New Roman"/>
          <w:sz w:val="20"/>
          <w:szCs w:val="20"/>
        </w:rPr>
      </w:pPr>
    </w:p>
    <w:p w:rsidR="00EA1959" w:rsidRPr="0023428D" w:rsidRDefault="00EA1959" w:rsidP="00EA1959">
      <w:pPr>
        <w:rPr>
          <w:rFonts w:ascii="Times New Roman" w:hAnsi="Times New Roman" w:cs="Times New Roman"/>
          <w:sz w:val="20"/>
          <w:szCs w:val="20"/>
        </w:rPr>
      </w:pPr>
      <w:r w:rsidRPr="0023428D">
        <w:rPr>
          <w:rFonts w:ascii="Times New Roman" w:hAnsi="Times New Roman" w:cs="Times New Roman"/>
          <w:sz w:val="20"/>
          <w:szCs w:val="20"/>
        </w:rPr>
        <w:t xml:space="preserve">Models adjusted for age, </w:t>
      </w:r>
      <w:r w:rsidR="00783676" w:rsidRPr="0023428D">
        <w:rPr>
          <w:rFonts w:ascii="Times New Roman" w:hAnsi="Times New Roman" w:cs="Times New Roman"/>
          <w:sz w:val="20"/>
          <w:szCs w:val="20"/>
        </w:rPr>
        <w:t>sex</w:t>
      </w:r>
      <w:r w:rsidRPr="0023428D">
        <w:rPr>
          <w:rFonts w:ascii="Times New Roman" w:hAnsi="Times New Roman" w:cs="Times New Roman"/>
          <w:sz w:val="20"/>
          <w:szCs w:val="20"/>
        </w:rPr>
        <w:t>, race/ethnicity, insurance type, hospital location, bed size and teaching status, hospital-specific open colectomy volume, elective or emergent procedure, indication for colectomy and procedure type, year of procedure, anesthesia type, PCA, gabapentin/pregabalin, NSAID, COX-2 inhibitor and ketamine use, and Charlson comorbidities, history of substance use/abuse, pain conditions, psychiatric comorbidities, or opioid use disorder</w:t>
      </w:r>
    </w:p>
    <w:p w:rsidR="00C25E4F" w:rsidRPr="0023428D" w:rsidRDefault="00C25E4F" w:rsidP="00C25E4F">
      <w:pPr>
        <w:rPr>
          <w:rFonts w:ascii="Times New Roman" w:hAnsi="Times New Roman" w:cs="Times New Roman"/>
          <w:sz w:val="20"/>
          <w:szCs w:val="20"/>
        </w:rPr>
      </w:pPr>
      <w:r w:rsidRPr="0023428D">
        <w:rPr>
          <w:rFonts w:ascii="Times New Roman" w:hAnsi="Times New Roman" w:cs="Times New Roman"/>
          <w:sz w:val="20"/>
          <w:szCs w:val="20"/>
        </w:rPr>
        <w:t>*"Other" includes postoperative bradycardia, rash or itching, fall from bed, or "drugs causing adverse effects with therapeutic use"</w:t>
      </w:r>
    </w:p>
    <w:p w:rsidR="00C25E4F" w:rsidRPr="0023428D" w:rsidRDefault="00C25E4F" w:rsidP="00C164F7">
      <w:pPr>
        <w:rPr>
          <w:rFonts w:ascii="Times New Roman" w:eastAsia="Times New Roman" w:hAnsi="Times New Roman" w:cs="Times New Roman"/>
          <w:b/>
          <w:bCs/>
        </w:rPr>
        <w:sectPr w:rsidR="00C25E4F" w:rsidRPr="0023428D" w:rsidSect="00C25E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60CE6" w:rsidRPr="0023428D" w:rsidRDefault="00CB05C8" w:rsidP="002D6958">
      <w:pPr>
        <w:rPr>
          <w:rFonts w:ascii="Times New Roman" w:eastAsia="Times New Roman" w:hAnsi="Times New Roman" w:cs="Times New Roman"/>
          <w:b/>
          <w:bCs/>
        </w:rPr>
      </w:pPr>
      <w:r w:rsidRPr="0023428D">
        <w:rPr>
          <w:rFonts w:ascii="Times New Roman" w:eastAsia="Times New Roman" w:hAnsi="Times New Roman" w:cs="Times New Roman"/>
          <w:b/>
          <w:bCs/>
        </w:rPr>
        <w:lastRenderedPageBreak/>
        <w:t xml:space="preserve">Table B. </w:t>
      </w:r>
      <w:r w:rsidR="002D6958" w:rsidRPr="0023428D">
        <w:rPr>
          <w:rFonts w:ascii="Times New Roman" w:eastAsia="Times New Roman" w:hAnsi="Times New Roman" w:cs="Times New Roman"/>
          <w:b/>
          <w:bCs/>
        </w:rPr>
        <w:t>Full model coefficients from multivariable models depicted in</w:t>
      </w:r>
      <w:r w:rsidR="00AC52B4" w:rsidRPr="0023428D">
        <w:rPr>
          <w:rFonts w:ascii="Times New Roman" w:eastAsia="Times New Roman" w:hAnsi="Times New Roman" w:cs="Times New Roman"/>
          <w:b/>
          <w:bCs/>
        </w:rPr>
        <w:t xml:space="preserve"> manuscript</w:t>
      </w:r>
      <w:r w:rsidR="002D6958" w:rsidRPr="0023428D">
        <w:rPr>
          <w:rFonts w:ascii="Times New Roman" w:eastAsia="Times New Roman" w:hAnsi="Times New Roman" w:cs="Times New Roman"/>
          <w:b/>
          <w:bCs/>
        </w:rPr>
        <w:t xml:space="preserve"> Table 3 and Table 4; </w:t>
      </w:r>
      <w:r w:rsidR="000A0FA2">
        <w:rPr>
          <w:rFonts w:ascii="Times New Roman" w:eastAsia="Times New Roman" w:hAnsi="Times New Roman" w:cs="Times New Roman"/>
          <w:b/>
          <w:bCs/>
        </w:rPr>
        <w:t>odds ratios</w:t>
      </w:r>
      <w:bookmarkStart w:id="0" w:name="_GoBack"/>
      <w:bookmarkEnd w:id="0"/>
      <w:r w:rsidR="002D6958" w:rsidRPr="0023428D">
        <w:rPr>
          <w:rFonts w:ascii="Times New Roman" w:eastAsia="Times New Roman" w:hAnsi="Times New Roman" w:cs="Times New Roman"/>
          <w:b/>
          <w:bCs/>
        </w:rPr>
        <w:t xml:space="preserve"> for binary variables, for continuous outcomes </w:t>
      </w:r>
      <w:proofErr w:type="spellStart"/>
      <w:r w:rsidR="002D6958" w:rsidRPr="0023428D">
        <w:rPr>
          <w:rFonts w:ascii="Times New Roman" w:eastAsia="Times New Roman" w:hAnsi="Times New Roman" w:cs="Times New Roman"/>
          <w:b/>
          <w:bCs/>
        </w:rPr>
        <w:t>exponentiated</w:t>
      </w:r>
      <w:proofErr w:type="spellEnd"/>
      <w:r w:rsidR="002D6958" w:rsidRPr="0023428D">
        <w:rPr>
          <w:rFonts w:ascii="Times New Roman" w:eastAsia="Times New Roman" w:hAnsi="Times New Roman" w:cs="Times New Roman"/>
          <w:b/>
          <w:bCs/>
        </w:rPr>
        <w:t xml:space="preserve"> coefficients from the log model depicting % change</w:t>
      </w:r>
      <w:r w:rsidR="00006FCA" w:rsidRPr="0023428D">
        <w:rPr>
          <w:rFonts w:ascii="Times New Roman" w:eastAsia="Times New Roman" w:hAnsi="Times New Roman" w:cs="Times New Roman"/>
          <w:b/>
          <w:bCs/>
        </w:rPr>
        <w:t xml:space="preserve"> </w:t>
      </w:r>
      <w:r w:rsidR="002D6958" w:rsidRPr="0023428D">
        <w:rPr>
          <w:rFonts w:ascii="Times New Roman" w:eastAsia="Times New Roman" w:hAnsi="Times New Roman" w:cs="Times New Roman"/>
          <w:b/>
          <w:bCs/>
        </w:rPr>
        <w:t>compared to reference.</w:t>
      </w:r>
    </w:p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2319"/>
        <w:gridCol w:w="2119"/>
        <w:gridCol w:w="884"/>
        <w:gridCol w:w="578"/>
        <w:gridCol w:w="578"/>
        <w:gridCol w:w="885"/>
        <w:gridCol w:w="578"/>
        <w:gridCol w:w="578"/>
        <w:gridCol w:w="885"/>
        <w:gridCol w:w="578"/>
        <w:gridCol w:w="578"/>
        <w:gridCol w:w="682"/>
        <w:gridCol w:w="679"/>
        <w:gridCol w:w="679"/>
        <w:gridCol w:w="682"/>
        <w:gridCol w:w="679"/>
        <w:gridCol w:w="679"/>
      </w:tblGrid>
      <w:tr w:rsidR="00364C85" w:rsidRPr="0023428D" w:rsidTr="00D47106">
        <w:trPr>
          <w:trHeight w:val="82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Oral Morphine Equivalents**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Length of Hospital Stay**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 of Hospitalization**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Respiratory Complications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Gastrointestinal Complications (excl. Ileus)</w:t>
            </w:r>
          </w:p>
        </w:tc>
      </w:tr>
      <w:tr w:rsidR="00364C85" w:rsidRPr="0023428D" w:rsidTr="00D47106">
        <w:trPr>
          <w:trHeight w:val="735"/>
        </w:trPr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Change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Change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Change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106" w:rsidRPr="0023428D" w:rsidRDefault="00D47106" w:rsidP="00D471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Age*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-6.81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-4.24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-6.86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-8.71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-6.61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Male (ref)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Race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White (ref)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Black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-2.68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-0.32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10.19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4.17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8.43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1.17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Hispanic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-21.74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5.72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-6.71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19.82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5.03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1.03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Insurance Type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Commercial (ref)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Medicaid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11.55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19.18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16.93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21.48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14.68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Medicare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-1.29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11.69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10.20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11.87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10.09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Uninsured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10.40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-0.48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-3.44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-3.66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3.54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6.77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Hospital Location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-17.26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8.54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-3.44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2.83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15.71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Urban (ref)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Hospital Size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Small (&lt;300 beds) [ref]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Medium (300-499 beds)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-16.96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7.71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Large (</w:t>
            </w: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&gt;</w:t>
            </w: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500 beds)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-9.66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24.46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14.52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14.60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31.73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Hospital Teaching Status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Non-Teaching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-5.90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-14.69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-5.78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1.78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-8.70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-16.16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-0.58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Teaching (ref)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 of Annual Procedures*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-0.19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Admission Type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Elective (ref)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Urgent/Emergency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18.90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20.62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54.43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57.59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44.99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43.26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46.76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1.42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Indication for Colectomy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Neoplasm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-22.84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-28.51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-16.72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-9.19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-10.62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-16.18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Diverticular Disease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3.58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-5.78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-8.37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</w:tr>
      <w:tr w:rsidR="00364C85" w:rsidRPr="0023428D" w:rsidTr="00D47106">
        <w:trPr>
          <w:trHeight w:val="48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Inflammatory Bowel Disease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16.02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25.83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22.90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16.04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30.16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14.33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6.77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22.41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2.47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13.61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20.12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28.11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2.35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 of Procedure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Right Hemicolectomy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8.06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14.59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17.88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21.69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25.87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Left Hemicolectomy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24.94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30.10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24.21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20.73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27.80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37.26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32.67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42.01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364C85" w:rsidRPr="0023428D" w:rsidTr="00D47106">
        <w:trPr>
          <w:trHeight w:val="48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Resection of Transverse Colon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15.60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25.52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23.64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27.29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34.23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29.65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38.96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Sigmoidectomy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14.76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10.23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19.47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21.07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25.23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21.48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16.38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26.79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22.40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18.76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26.14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33.06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28.35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37.93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Year of Procedure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2011 (ref)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1.36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2.75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-5.17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-1.95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-2.12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-4.06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1.39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-5.34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-3.71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1.42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-1.70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-12.29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-13.85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-10.68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 of Anesthesia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General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General/Neuraxial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-0.51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-4.90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4.09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1.46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Unknown/Other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-2.74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-3.71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-10.93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-5.65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PCA Use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32.83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30.34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35.36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-2.71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-11.56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-10.13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 APAP use Day/Doses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-7.76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-10.60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-12.32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-8.86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&gt;1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-10.98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-4.88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-10.39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-10.00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-12.51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-7.43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-0.36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-10.15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-4.72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1.39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&gt;1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-12.39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-15.24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-15.10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-17.09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-13.06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-14.44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-16.82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23.13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17.90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28.60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16.66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24.14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25.41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30.15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1.39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&gt;1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33.74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29.85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37.73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33.55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39.29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34.38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41.30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Oral APAP use Day/Doses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1.28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&gt;1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-8.73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-14.40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-2.68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-5.15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5.68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-10.78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-13.69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-7.77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-12.24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-14.30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-10.15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-11.38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-13.84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&gt;1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-22.61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-26.18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-18.86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-28.42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-30.79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-25.96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-26.38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-29.28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-23.36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1.15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12.58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10.07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15.17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25.33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23.33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27.38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24.73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22.35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27.16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1.48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&gt;1 dose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22.73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20.29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25.22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57.65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55.39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59.94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52.84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50.25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55.47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Gabapentin/Pregabalin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-16.51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-20.24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-7.46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-10.43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-5.97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22.14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17.94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26.49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6.21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8.32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11.61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NSAIDs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-11.10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-13.34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-14.56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-12.10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-14.49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-15.91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-13.03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5.38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3.61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7.19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-0.51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-3.41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1.46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COX-2 Inhibitors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-15.80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-22.40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-8.66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-18.14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-22.75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-13.24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-13.13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-18.93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-6.92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-16.60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-0.77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-4.21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-9.99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-6.47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428D">
              <w:rPr>
                <w:rFonts w:ascii="Times New Roman" w:eastAsia="Times New Roman" w:hAnsi="Times New Roman" w:cs="Times New Roman"/>
                <w:sz w:val="14"/>
                <w:szCs w:val="14"/>
              </w:rPr>
              <w:t>-13.16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Ketamine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-0.74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-3.50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36.42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26.97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46.57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49.95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42.43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57.85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67.53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57.59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78.09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1.21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Charlson Index*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3.88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3.66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4.09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4.79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1.05</w:t>
            </w:r>
          </w:p>
        </w:tc>
      </w:tr>
      <w:tr w:rsidR="00364C85" w:rsidRPr="0023428D" w:rsidTr="00D47106">
        <w:trPr>
          <w:trHeight w:val="45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History of Substance Use/Abuse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15.11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2.58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3.88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3.57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2.03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5.14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Pain Conditions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13.73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11.52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-0.27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-2.55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-4.14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1.46</w:t>
            </w:r>
          </w:p>
        </w:tc>
      </w:tr>
      <w:tr w:rsidR="00364C85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Psychiatric Comorbidities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11.07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9.22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12.45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13.78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10.23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8.70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11.80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D47106" w:rsidRPr="0023428D" w:rsidTr="00D47106">
        <w:trPr>
          <w:trHeight w:val="288"/>
        </w:trPr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Opioid Abuse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106" w:rsidRPr="0023428D" w:rsidRDefault="00D47106" w:rsidP="00D47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35.72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23.87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48.69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8.64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15.82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7.64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-0.29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106" w:rsidRPr="0023428D" w:rsidRDefault="00D47106" w:rsidP="00D4710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</w:tr>
    </w:tbl>
    <w:p w:rsidR="00006FCA" w:rsidRPr="0023428D" w:rsidRDefault="00006FCA" w:rsidP="002D6958">
      <w:pPr>
        <w:rPr>
          <w:rFonts w:ascii="Times New Roman" w:eastAsia="Times New Roman" w:hAnsi="Times New Roman" w:cs="Times New Roman"/>
          <w:b/>
          <w:bCs/>
        </w:rPr>
      </w:pPr>
    </w:p>
    <w:p w:rsidR="00006FCA" w:rsidRPr="0023428D" w:rsidRDefault="00006FCA" w:rsidP="002D6958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2320"/>
        <w:gridCol w:w="2120"/>
        <w:gridCol w:w="680"/>
        <w:gridCol w:w="680"/>
        <w:gridCol w:w="680"/>
        <w:gridCol w:w="682"/>
        <w:gridCol w:w="679"/>
        <w:gridCol w:w="679"/>
        <w:gridCol w:w="682"/>
        <w:gridCol w:w="679"/>
        <w:gridCol w:w="679"/>
        <w:gridCol w:w="682"/>
        <w:gridCol w:w="679"/>
        <w:gridCol w:w="679"/>
        <w:gridCol w:w="680"/>
        <w:gridCol w:w="680"/>
        <w:gridCol w:w="680"/>
      </w:tblGrid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Ileus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CNS Complications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Genitourinary Complications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 Complications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Use of Naloxone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67F" w:rsidRPr="0023428D" w:rsidRDefault="0095567F" w:rsidP="00955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Age*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Male (ref)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White (ref)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Black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Hispanic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2.64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1.36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Insurance Type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Commercial (ref)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Medicaid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1.94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1.45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Medicare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1.46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Uninsured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Unknown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Hospital Location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1.70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Urban (ref)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Hospital Size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Small (&lt;300 beds) [ref]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Medium (300-499 beds)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Large (</w:t>
            </w: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&gt;</w:t>
            </w: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500 beds)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Hospital Teaching Status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Non-Teaching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Teaching (ref)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 of Annual Procedures*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Admission Type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Elective (ref)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Urgent/Emergency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Indication for Colectomy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Neoplasm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Diverticular Disease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</w:tr>
      <w:tr w:rsidR="00364C85" w:rsidRPr="0023428D" w:rsidTr="0095567F">
        <w:trPr>
          <w:trHeight w:val="48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Inflammatory Bowel Disease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1.29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 of Procedure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Right Hemicolectomy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1.43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Left Hemicolectomy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1.43</w:t>
            </w:r>
          </w:p>
        </w:tc>
      </w:tr>
      <w:tr w:rsidR="00364C85" w:rsidRPr="0023428D" w:rsidTr="0095567F">
        <w:trPr>
          <w:trHeight w:val="48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Resection of Transverse Colon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1.53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Sigmoidectomy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1.47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Year of Procedure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2011 (ref)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 of Anesthesia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General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General/Neuraxial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1.83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Unknown/Other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PCA Use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1.29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 APAP use Day/Doses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&gt;1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&gt;1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1.54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&gt;1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Oral APAP use Day/Doses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Surgery, &gt;1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2.30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Postoperative Day 1, &gt;1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, &gt;1 dose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1.72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Gabapentin/Pregabalin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1.49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NSAIDs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COX-2 Inhibitors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1.37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Ketamine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Day of Surgery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1.60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Postoperative Day 1 and </w:t>
            </w:r>
            <w:r w:rsidR="00364C85" w:rsidRPr="0023428D">
              <w:rPr>
                <w:rFonts w:ascii="Times New Roman" w:eastAsia="Times New Roman" w:hAnsi="Times New Roman" w:cs="Times New Roman"/>
                <w:sz w:val="16"/>
                <w:szCs w:val="16"/>
              </w:rPr>
              <w:t>≥2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2.14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Charlson Index*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</w:tr>
      <w:tr w:rsidR="00364C85" w:rsidRPr="0023428D" w:rsidTr="0095567F">
        <w:trPr>
          <w:trHeight w:val="456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History of Substance Use/Abuse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Pain Conditions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</w:tr>
      <w:tr w:rsidR="00364C85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Psychiatric Comorbidities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</w:tr>
      <w:tr w:rsidR="0095567F" w:rsidRPr="0023428D" w:rsidTr="009556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Opioid Abuse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67F" w:rsidRPr="0023428D" w:rsidRDefault="0095567F" w:rsidP="0095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67F" w:rsidRPr="0023428D" w:rsidRDefault="0095567F" w:rsidP="0095567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428D">
              <w:rPr>
                <w:rFonts w:ascii="Times New Roman" w:eastAsia="Times New Roman" w:hAnsi="Times New Roman" w:cs="Times New Roman"/>
                <w:sz w:val="18"/>
                <w:szCs w:val="18"/>
              </w:rPr>
              <w:t>2.08</w:t>
            </w:r>
          </w:p>
        </w:tc>
      </w:tr>
    </w:tbl>
    <w:p w:rsidR="00460CE6" w:rsidRPr="0023428D" w:rsidRDefault="00460CE6" w:rsidP="002D6958">
      <w:pPr>
        <w:rPr>
          <w:rFonts w:ascii="Times New Roman" w:eastAsia="Times New Roman" w:hAnsi="Times New Roman" w:cs="Times New Roman"/>
          <w:b/>
          <w:bCs/>
        </w:rPr>
      </w:pPr>
    </w:p>
    <w:p w:rsidR="00006FCA" w:rsidRPr="0023428D" w:rsidRDefault="00460CE6" w:rsidP="002D6958">
      <w:pPr>
        <w:rPr>
          <w:rFonts w:ascii="Times New Roman" w:eastAsia="Times New Roman" w:hAnsi="Times New Roman" w:cs="Times New Roman"/>
          <w:bCs/>
        </w:rPr>
      </w:pPr>
      <w:r w:rsidRPr="0023428D">
        <w:rPr>
          <w:rFonts w:ascii="Times New Roman" w:eastAsia="Times New Roman" w:hAnsi="Times New Roman" w:cs="Times New Roman"/>
          <w:bCs/>
        </w:rPr>
        <w:t>*variable e</w:t>
      </w:r>
      <w:r w:rsidR="00006FCA" w:rsidRPr="0023428D">
        <w:rPr>
          <w:rFonts w:ascii="Times New Roman" w:eastAsia="Times New Roman" w:hAnsi="Times New Roman" w:cs="Times New Roman"/>
          <w:bCs/>
        </w:rPr>
        <w:t>ntered into model as continuous</w:t>
      </w:r>
    </w:p>
    <w:p w:rsidR="00130371" w:rsidRPr="0023428D" w:rsidRDefault="00006FCA">
      <w:pPr>
        <w:rPr>
          <w:rFonts w:ascii="Times New Roman" w:eastAsia="Times New Roman" w:hAnsi="Times New Roman" w:cs="Times New Roman"/>
          <w:bCs/>
        </w:rPr>
      </w:pPr>
      <w:r w:rsidRPr="0023428D">
        <w:rPr>
          <w:rFonts w:ascii="Times New Roman" w:eastAsia="Times New Roman" w:hAnsi="Times New Roman" w:cs="Times New Roman"/>
          <w:bCs/>
        </w:rPr>
        <w:t xml:space="preserve">**continuous outcomes; </w:t>
      </w:r>
      <w:proofErr w:type="spellStart"/>
      <w:r w:rsidRPr="0023428D">
        <w:rPr>
          <w:rFonts w:ascii="Times New Roman" w:eastAsia="Times New Roman" w:hAnsi="Times New Roman" w:cs="Times New Roman"/>
          <w:bCs/>
        </w:rPr>
        <w:t>exponentiated</w:t>
      </w:r>
      <w:proofErr w:type="spellEnd"/>
      <w:r w:rsidRPr="0023428D">
        <w:rPr>
          <w:rFonts w:ascii="Times New Roman" w:eastAsia="Times New Roman" w:hAnsi="Times New Roman" w:cs="Times New Roman"/>
          <w:bCs/>
        </w:rPr>
        <w:t xml:space="preserve"> coefficients from the log model depicting % change compared to reference.</w:t>
      </w:r>
    </w:p>
    <w:p w:rsidR="0023428D" w:rsidRPr="0023428D" w:rsidRDefault="0023428D">
      <w:pPr>
        <w:rPr>
          <w:rFonts w:ascii="Times New Roman" w:eastAsia="Times New Roman" w:hAnsi="Times New Roman" w:cs="Times New Roman"/>
          <w:bCs/>
        </w:rPr>
      </w:pPr>
    </w:p>
    <w:sectPr w:rsidR="0023428D" w:rsidRPr="0023428D" w:rsidSect="00846C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A1"/>
    <w:rsid w:val="00006FCA"/>
    <w:rsid w:val="00077439"/>
    <w:rsid w:val="000A0FA2"/>
    <w:rsid w:val="00130371"/>
    <w:rsid w:val="001D16C8"/>
    <w:rsid w:val="0023428D"/>
    <w:rsid w:val="002D6958"/>
    <w:rsid w:val="00364C85"/>
    <w:rsid w:val="0036770E"/>
    <w:rsid w:val="003A4473"/>
    <w:rsid w:val="00426CA1"/>
    <w:rsid w:val="00460CE6"/>
    <w:rsid w:val="005B59AF"/>
    <w:rsid w:val="006220A5"/>
    <w:rsid w:val="006E290A"/>
    <w:rsid w:val="00783676"/>
    <w:rsid w:val="007D7EC9"/>
    <w:rsid w:val="00846CB3"/>
    <w:rsid w:val="008948E9"/>
    <w:rsid w:val="0095567F"/>
    <w:rsid w:val="00AC52B4"/>
    <w:rsid w:val="00BC2E9F"/>
    <w:rsid w:val="00C00644"/>
    <w:rsid w:val="00C164F7"/>
    <w:rsid w:val="00C25E4F"/>
    <w:rsid w:val="00CB05C8"/>
    <w:rsid w:val="00D47106"/>
    <w:rsid w:val="00E33C84"/>
    <w:rsid w:val="00EA1959"/>
    <w:rsid w:val="00ED0BA4"/>
    <w:rsid w:val="00F0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46C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CB3"/>
    <w:rPr>
      <w:color w:val="800080"/>
      <w:u w:val="single"/>
    </w:rPr>
  </w:style>
  <w:style w:type="paragraph" w:customStyle="1" w:styleId="font5">
    <w:name w:val="font5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65">
    <w:name w:val="xl65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846CB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846C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846C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846CB3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46C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CB3"/>
    <w:rPr>
      <w:color w:val="800080"/>
      <w:u w:val="single"/>
    </w:rPr>
  </w:style>
  <w:style w:type="paragraph" w:customStyle="1" w:styleId="font5">
    <w:name w:val="font5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65">
    <w:name w:val="xl65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846CB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846CB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846C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846CB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846CB3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846CB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846CB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20167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Wasserman</dc:creator>
  <cp:lastModifiedBy>v.j.j.poeran</cp:lastModifiedBy>
  <cp:revision>10</cp:revision>
  <dcterms:created xsi:type="dcterms:W3CDTF">2017-12-21T13:40:00Z</dcterms:created>
  <dcterms:modified xsi:type="dcterms:W3CDTF">2018-02-09T04:34:00Z</dcterms:modified>
</cp:coreProperties>
</file>