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FB5EA" w14:textId="77777777" w:rsidR="00FF3B15" w:rsidRPr="00852AD1" w:rsidRDefault="00FF3B15" w:rsidP="00FF3B15">
      <w:pPr>
        <w:spacing w:line="480" w:lineRule="auto"/>
        <w:outlineLvl w:val="0"/>
        <w:rPr>
          <w:color w:val="000000" w:themeColor="text1"/>
          <w:sz w:val="22"/>
          <w:szCs w:val="22"/>
        </w:rPr>
      </w:pPr>
      <w:r w:rsidRPr="00852AD1">
        <w:rPr>
          <w:b/>
          <w:color w:val="000000" w:themeColor="text1"/>
          <w:sz w:val="22"/>
          <w:szCs w:val="22"/>
        </w:rPr>
        <w:t>Online Supplemental Content</w:t>
      </w:r>
    </w:p>
    <w:p w14:paraId="40A49F28" w14:textId="77777777" w:rsidR="00CF0F5D" w:rsidRPr="00852AD1" w:rsidRDefault="00CF0F5D">
      <w:pPr>
        <w:rPr>
          <w:color w:val="000000" w:themeColor="text1"/>
          <w:sz w:val="22"/>
          <w:szCs w:val="22"/>
        </w:rPr>
      </w:pPr>
      <w:r w:rsidRPr="00852AD1">
        <w:rPr>
          <w:b/>
          <w:color w:val="000000" w:themeColor="text1"/>
          <w:sz w:val="22"/>
          <w:szCs w:val="22"/>
        </w:rPr>
        <w:t>Figure A.1</w:t>
      </w:r>
      <w:proofErr w:type="gramStart"/>
      <w:r w:rsidRPr="00852AD1">
        <w:rPr>
          <w:b/>
          <w:color w:val="000000" w:themeColor="text1"/>
          <w:sz w:val="22"/>
          <w:szCs w:val="22"/>
        </w:rPr>
        <w:t>. :</w:t>
      </w:r>
      <w:proofErr w:type="gramEnd"/>
      <w:r w:rsidRPr="00852AD1">
        <w:rPr>
          <w:b/>
          <w:color w:val="000000" w:themeColor="text1"/>
          <w:sz w:val="22"/>
          <w:szCs w:val="22"/>
        </w:rPr>
        <w:t xml:space="preserve"> Sample Construction Flow Chart</w:t>
      </w:r>
    </w:p>
    <w:p w14:paraId="2A7EC7FA" w14:textId="77777777" w:rsidR="00CF0F5D" w:rsidRPr="00852AD1" w:rsidRDefault="00CF0F5D">
      <w:pPr>
        <w:rPr>
          <w:color w:val="000000" w:themeColor="text1"/>
          <w:sz w:val="22"/>
          <w:szCs w:val="22"/>
        </w:rPr>
      </w:pPr>
    </w:p>
    <w:p w14:paraId="30F9510B" w14:textId="3B4B1FB1" w:rsidR="00CF0F5D" w:rsidRPr="00852AD1" w:rsidRDefault="00946C10">
      <w:pPr>
        <w:rPr>
          <w:i/>
          <w:color w:val="000000" w:themeColor="text1"/>
          <w:sz w:val="22"/>
          <w:szCs w:val="22"/>
        </w:rPr>
      </w:pPr>
      <w:r>
        <w:rPr>
          <w:i/>
          <w:noProof/>
          <w:color w:val="000000" w:themeColor="text1"/>
          <w:sz w:val="22"/>
          <w:szCs w:val="22"/>
        </w:rPr>
        <w:drawing>
          <wp:inline distT="0" distB="0" distL="0" distR="0" wp14:anchorId="4C0BAC6E" wp14:editId="70E32CC9">
            <wp:extent cx="8229600" cy="4629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1.jpeg"/>
                    <pic:cNvPicPr/>
                  </pic:nvPicPr>
                  <pic:blipFill>
                    <a:blip r:embed="rId6">
                      <a:extLst>
                        <a:ext uri="{28A0092B-C50C-407E-A947-70E740481C1C}">
                          <a14:useLocalDpi xmlns:a14="http://schemas.microsoft.com/office/drawing/2010/main" val="0"/>
                        </a:ext>
                      </a:extLst>
                    </a:blip>
                    <a:stretch>
                      <a:fillRect/>
                    </a:stretch>
                  </pic:blipFill>
                  <pic:spPr>
                    <a:xfrm>
                      <a:off x="0" y="0"/>
                      <a:ext cx="8229600" cy="4629150"/>
                    </a:xfrm>
                    <a:prstGeom prst="rect">
                      <a:avLst/>
                    </a:prstGeom>
                  </pic:spPr>
                </pic:pic>
              </a:graphicData>
            </a:graphic>
          </wp:inline>
        </w:drawing>
      </w:r>
      <w:r w:rsidR="00CF0F5D" w:rsidRPr="00852AD1">
        <w:rPr>
          <w:i/>
          <w:color w:val="000000" w:themeColor="text1"/>
          <w:sz w:val="22"/>
          <w:szCs w:val="22"/>
        </w:rPr>
        <w:br w:type="page"/>
      </w:r>
    </w:p>
    <w:p w14:paraId="085621B9" w14:textId="77777777" w:rsidR="00946C10" w:rsidRDefault="00946C10" w:rsidP="004C0F8E">
      <w:pPr>
        <w:rPr>
          <w:b/>
          <w:sz w:val="22"/>
        </w:rPr>
        <w:sectPr w:rsidR="00946C10" w:rsidSect="00946C10">
          <w:pgSz w:w="15840" w:h="12240" w:orient="landscape"/>
          <w:pgMar w:top="1440" w:right="1440" w:bottom="1440" w:left="1440" w:header="720" w:footer="720" w:gutter="0"/>
          <w:cols w:space="720"/>
          <w:docGrid w:linePitch="360"/>
        </w:sectPr>
      </w:pPr>
    </w:p>
    <w:p w14:paraId="7EEA5B2E" w14:textId="07C41494" w:rsidR="004C0F8E" w:rsidRPr="00852AD1" w:rsidRDefault="004C0F8E" w:rsidP="004C0F8E">
      <w:pPr>
        <w:rPr>
          <w:b/>
          <w:sz w:val="22"/>
        </w:rPr>
      </w:pPr>
      <w:r w:rsidRPr="00852AD1">
        <w:rPr>
          <w:b/>
          <w:sz w:val="22"/>
        </w:rPr>
        <w:lastRenderedPageBreak/>
        <w:t xml:space="preserve">Appendix Table A.1.  </w:t>
      </w:r>
      <w:r w:rsidR="000F608E" w:rsidRPr="00852AD1">
        <w:rPr>
          <w:b/>
          <w:sz w:val="22"/>
        </w:rPr>
        <w:t>Regulatory</w:t>
      </w:r>
      <w:r w:rsidRPr="00852AD1">
        <w:rPr>
          <w:b/>
          <w:sz w:val="22"/>
        </w:rPr>
        <w:t xml:space="preserve"> Environment for </w:t>
      </w:r>
      <w:proofErr w:type="spellStart"/>
      <w:r w:rsidRPr="00852AD1">
        <w:rPr>
          <w:b/>
          <w:sz w:val="22"/>
        </w:rPr>
        <w:t>Nonphysician</w:t>
      </w:r>
      <w:proofErr w:type="spellEnd"/>
      <w:r w:rsidRPr="00852AD1">
        <w:rPr>
          <w:b/>
          <w:sz w:val="22"/>
        </w:rPr>
        <w:t xml:space="preserve"> Anesthesia Providers</w:t>
      </w:r>
    </w:p>
    <w:p w14:paraId="7FB8F51C" w14:textId="77777777" w:rsidR="004C0F8E" w:rsidRPr="00852AD1" w:rsidRDefault="004C0F8E" w:rsidP="004C0F8E">
      <w:pPr>
        <w:rPr>
          <w:b/>
          <w:sz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42"/>
        <w:gridCol w:w="2330"/>
        <w:gridCol w:w="2408"/>
        <w:gridCol w:w="2250"/>
      </w:tblGrid>
      <w:tr w:rsidR="004C0F8E" w:rsidRPr="00852AD1" w14:paraId="20595CC1" w14:textId="77777777" w:rsidTr="004C0F8E">
        <w:trPr>
          <w:trHeight w:val="296"/>
        </w:trPr>
        <w:tc>
          <w:tcPr>
            <w:tcW w:w="2342" w:type="dxa"/>
          </w:tcPr>
          <w:p w14:paraId="75A027AF" w14:textId="77777777" w:rsidR="004C0F8E" w:rsidRPr="00852AD1" w:rsidRDefault="004C0F8E" w:rsidP="009D5DAB"/>
        </w:tc>
        <w:tc>
          <w:tcPr>
            <w:tcW w:w="2330" w:type="dxa"/>
          </w:tcPr>
          <w:p w14:paraId="1C1F4FCD" w14:textId="77777777" w:rsidR="004C0F8E" w:rsidRPr="00852AD1" w:rsidRDefault="004C0F8E" w:rsidP="009D5DAB">
            <w:pPr>
              <w:jc w:val="center"/>
              <w:rPr>
                <w:b/>
              </w:rPr>
            </w:pPr>
            <w:r w:rsidRPr="00852AD1">
              <w:rPr>
                <w:b/>
              </w:rPr>
              <w:t>AA</w:t>
            </w:r>
          </w:p>
        </w:tc>
        <w:tc>
          <w:tcPr>
            <w:tcW w:w="2408" w:type="dxa"/>
          </w:tcPr>
          <w:p w14:paraId="78451C3F" w14:textId="77777777" w:rsidR="004C0F8E" w:rsidRPr="00852AD1" w:rsidRDefault="004C0F8E" w:rsidP="009D5DAB">
            <w:pPr>
              <w:jc w:val="center"/>
              <w:rPr>
                <w:b/>
              </w:rPr>
            </w:pPr>
            <w:r w:rsidRPr="00852AD1">
              <w:rPr>
                <w:b/>
              </w:rPr>
              <w:t>“Opt-out”</w:t>
            </w:r>
          </w:p>
        </w:tc>
        <w:tc>
          <w:tcPr>
            <w:tcW w:w="2250" w:type="dxa"/>
          </w:tcPr>
          <w:p w14:paraId="0E59A69C" w14:textId="77777777" w:rsidR="004C0F8E" w:rsidRPr="00852AD1" w:rsidRDefault="004C0F8E" w:rsidP="009D5DAB">
            <w:pPr>
              <w:jc w:val="center"/>
              <w:rPr>
                <w:b/>
              </w:rPr>
            </w:pPr>
            <w:r w:rsidRPr="00852AD1">
              <w:rPr>
                <w:b/>
              </w:rPr>
              <w:t>Year</w:t>
            </w:r>
          </w:p>
        </w:tc>
      </w:tr>
      <w:tr w:rsidR="004C0F8E" w:rsidRPr="00852AD1" w14:paraId="7340E8EB" w14:textId="77777777" w:rsidTr="004C0F8E">
        <w:trPr>
          <w:trHeight w:val="323"/>
        </w:trPr>
        <w:tc>
          <w:tcPr>
            <w:tcW w:w="2342" w:type="dxa"/>
          </w:tcPr>
          <w:p w14:paraId="1F4826CA" w14:textId="77777777" w:rsidR="004C0F8E" w:rsidRPr="00852AD1" w:rsidRDefault="004C0F8E" w:rsidP="009D5DAB">
            <w:r w:rsidRPr="00852AD1">
              <w:t>Alabama</w:t>
            </w:r>
          </w:p>
        </w:tc>
        <w:tc>
          <w:tcPr>
            <w:tcW w:w="2330" w:type="dxa"/>
          </w:tcPr>
          <w:p w14:paraId="2E04E295" w14:textId="77777777" w:rsidR="004C0F8E" w:rsidRPr="00852AD1" w:rsidRDefault="004C0F8E" w:rsidP="009D5DAB">
            <w:pPr>
              <w:jc w:val="center"/>
            </w:pPr>
            <w:r w:rsidRPr="00852AD1">
              <w:t>Yes</w:t>
            </w:r>
          </w:p>
        </w:tc>
        <w:tc>
          <w:tcPr>
            <w:tcW w:w="2408" w:type="dxa"/>
          </w:tcPr>
          <w:p w14:paraId="0C7547BF" w14:textId="77777777" w:rsidR="004C0F8E" w:rsidRPr="00852AD1" w:rsidRDefault="004C0F8E" w:rsidP="009D5DAB">
            <w:pPr>
              <w:jc w:val="center"/>
            </w:pPr>
            <w:r w:rsidRPr="00852AD1">
              <w:t>No</w:t>
            </w:r>
          </w:p>
        </w:tc>
        <w:tc>
          <w:tcPr>
            <w:tcW w:w="2250" w:type="dxa"/>
          </w:tcPr>
          <w:p w14:paraId="0A4E2728" w14:textId="77777777" w:rsidR="004C0F8E" w:rsidRPr="00852AD1" w:rsidRDefault="004C0F8E" w:rsidP="009D5DAB">
            <w:pPr>
              <w:jc w:val="center"/>
            </w:pPr>
            <w:r w:rsidRPr="00852AD1">
              <w:t>1998</w:t>
            </w:r>
          </w:p>
        </w:tc>
      </w:tr>
      <w:tr w:rsidR="004C0F8E" w:rsidRPr="00852AD1" w14:paraId="66E1E62E" w14:textId="77777777" w:rsidTr="004C0F8E">
        <w:trPr>
          <w:trHeight w:val="323"/>
        </w:trPr>
        <w:tc>
          <w:tcPr>
            <w:tcW w:w="2342" w:type="dxa"/>
          </w:tcPr>
          <w:p w14:paraId="1C3472D7" w14:textId="77777777" w:rsidR="004C0F8E" w:rsidRPr="00852AD1" w:rsidRDefault="004C0F8E" w:rsidP="009D5DAB">
            <w:r w:rsidRPr="00852AD1">
              <w:t>Alaska</w:t>
            </w:r>
          </w:p>
        </w:tc>
        <w:tc>
          <w:tcPr>
            <w:tcW w:w="2330" w:type="dxa"/>
          </w:tcPr>
          <w:p w14:paraId="23265223" w14:textId="5F9F3DB1" w:rsidR="004C0F8E" w:rsidRPr="00852AD1" w:rsidRDefault="004C0F8E" w:rsidP="009D5DAB">
            <w:pPr>
              <w:jc w:val="center"/>
            </w:pPr>
            <w:r w:rsidRPr="00852AD1">
              <w:t>No</w:t>
            </w:r>
          </w:p>
        </w:tc>
        <w:tc>
          <w:tcPr>
            <w:tcW w:w="2408" w:type="dxa"/>
          </w:tcPr>
          <w:p w14:paraId="1029CCC1" w14:textId="77777777" w:rsidR="004C0F8E" w:rsidRPr="00852AD1" w:rsidRDefault="004C0F8E" w:rsidP="009D5DAB">
            <w:pPr>
              <w:jc w:val="center"/>
            </w:pPr>
            <w:r w:rsidRPr="00852AD1">
              <w:t>Yes</w:t>
            </w:r>
          </w:p>
        </w:tc>
        <w:tc>
          <w:tcPr>
            <w:tcW w:w="2250" w:type="dxa"/>
          </w:tcPr>
          <w:p w14:paraId="2EA0B8E5" w14:textId="77777777" w:rsidR="004C0F8E" w:rsidRPr="00852AD1" w:rsidRDefault="004C0F8E" w:rsidP="009D5DAB">
            <w:pPr>
              <w:jc w:val="center"/>
            </w:pPr>
            <w:r w:rsidRPr="00852AD1">
              <w:t>2003</w:t>
            </w:r>
          </w:p>
        </w:tc>
      </w:tr>
      <w:tr w:rsidR="004C0F8E" w:rsidRPr="00852AD1" w14:paraId="4FEA20B7" w14:textId="77777777" w:rsidTr="004C0F8E">
        <w:tc>
          <w:tcPr>
            <w:tcW w:w="2342" w:type="dxa"/>
          </w:tcPr>
          <w:p w14:paraId="03486D5F" w14:textId="77777777" w:rsidR="004C0F8E" w:rsidRPr="00852AD1" w:rsidRDefault="004C0F8E" w:rsidP="009D5DAB">
            <w:r w:rsidRPr="00852AD1">
              <w:t>California</w:t>
            </w:r>
          </w:p>
        </w:tc>
        <w:tc>
          <w:tcPr>
            <w:tcW w:w="2330" w:type="dxa"/>
          </w:tcPr>
          <w:p w14:paraId="0C989641" w14:textId="7B0EA5FC" w:rsidR="004C0F8E" w:rsidRPr="00852AD1" w:rsidRDefault="004C0F8E" w:rsidP="009D5DAB">
            <w:pPr>
              <w:jc w:val="center"/>
            </w:pPr>
            <w:r w:rsidRPr="00852AD1">
              <w:t>No</w:t>
            </w:r>
          </w:p>
        </w:tc>
        <w:tc>
          <w:tcPr>
            <w:tcW w:w="2408" w:type="dxa"/>
          </w:tcPr>
          <w:p w14:paraId="54C8ECB1" w14:textId="77777777" w:rsidR="004C0F8E" w:rsidRPr="00852AD1" w:rsidRDefault="004C0F8E" w:rsidP="009D5DAB">
            <w:pPr>
              <w:jc w:val="center"/>
            </w:pPr>
            <w:r w:rsidRPr="00852AD1">
              <w:t>Yes</w:t>
            </w:r>
          </w:p>
        </w:tc>
        <w:tc>
          <w:tcPr>
            <w:tcW w:w="2250" w:type="dxa"/>
          </w:tcPr>
          <w:p w14:paraId="3B2D3229" w14:textId="77777777" w:rsidR="004C0F8E" w:rsidRPr="00852AD1" w:rsidRDefault="004C0F8E" w:rsidP="009D5DAB">
            <w:pPr>
              <w:jc w:val="center"/>
            </w:pPr>
            <w:r w:rsidRPr="00852AD1">
              <w:t>2009</w:t>
            </w:r>
          </w:p>
        </w:tc>
      </w:tr>
      <w:tr w:rsidR="004C0F8E" w:rsidRPr="00852AD1" w14:paraId="781AA3EE" w14:textId="77777777" w:rsidTr="004C0F8E">
        <w:tc>
          <w:tcPr>
            <w:tcW w:w="2342" w:type="dxa"/>
          </w:tcPr>
          <w:p w14:paraId="63F5F3CE" w14:textId="77777777" w:rsidR="004C0F8E" w:rsidRPr="00852AD1" w:rsidRDefault="004C0F8E" w:rsidP="009D5DAB">
            <w:r w:rsidRPr="00852AD1">
              <w:t>Colorado</w:t>
            </w:r>
          </w:p>
        </w:tc>
        <w:tc>
          <w:tcPr>
            <w:tcW w:w="2330" w:type="dxa"/>
          </w:tcPr>
          <w:p w14:paraId="6D97122E" w14:textId="77777777" w:rsidR="004C0F8E" w:rsidRPr="00852AD1" w:rsidRDefault="004C0F8E" w:rsidP="009D5DAB">
            <w:pPr>
              <w:jc w:val="center"/>
            </w:pPr>
            <w:r w:rsidRPr="00852AD1">
              <w:t>Yes</w:t>
            </w:r>
          </w:p>
        </w:tc>
        <w:tc>
          <w:tcPr>
            <w:tcW w:w="2408" w:type="dxa"/>
          </w:tcPr>
          <w:p w14:paraId="57A16193" w14:textId="77777777" w:rsidR="004C0F8E" w:rsidRPr="00852AD1" w:rsidRDefault="004C0F8E" w:rsidP="009D5DAB">
            <w:pPr>
              <w:jc w:val="center"/>
            </w:pPr>
            <w:r w:rsidRPr="00852AD1">
              <w:t>Yes</w:t>
            </w:r>
          </w:p>
        </w:tc>
        <w:tc>
          <w:tcPr>
            <w:tcW w:w="2250" w:type="dxa"/>
          </w:tcPr>
          <w:p w14:paraId="65292FC6" w14:textId="77777777" w:rsidR="004C0F8E" w:rsidRPr="00852AD1" w:rsidRDefault="004C0F8E" w:rsidP="009D5DAB">
            <w:pPr>
              <w:jc w:val="center"/>
            </w:pPr>
            <w:r w:rsidRPr="00852AD1">
              <w:t>2010 (“Opt-out”), 2012 (AA)</w:t>
            </w:r>
          </w:p>
        </w:tc>
      </w:tr>
      <w:tr w:rsidR="004C0F8E" w:rsidRPr="00852AD1" w14:paraId="17E350A6" w14:textId="77777777" w:rsidTr="004C0F8E">
        <w:tc>
          <w:tcPr>
            <w:tcW w:w="2342" w:type="dxa"/>
          </w:tcPr>
          <w:p w14:paraId="310FDBF8" w14:textId="77777777" w:rsidR="004C0F8E" w:rsidRPr="00852AD1" w:rsidRDefault="004C0F8E" w:rsidP="009D5DAB">
            <w:r w:rsidRPr="00852AD1">
              <w:t>District of Columbia</w:t>
            </w:r>
          </w:p>
        </w:tc>
        <w:tc>
          <w:tcPr>
            <w:tcW w:w="2330" w:type="dxa"/>
          </w:tcPr>
          <w:p w14:paraId="48769255" w14:textId="77777777" w:rsidR="004C0F8E" w:rsidRPr="00852AD1" w:rsidRDefault="004C0F8E" w:rsidP="009D5DAB">
            <w:pPr>
              <w:jc w:val="center"/>
            </w:pPr>
            <w:r w:rsidRPr="00852AD1">
              <w:t>Yes</w:t>
            </w:r>
          </w:p>
        </w:tc>
        <w:tc>
          <w:tcPr>
            <w:tcW w:w="2408" w:type="dxa"/>
          </w:tcPr>
          <w:p w14:paraId="07D8AD89" w14:textId="7C02A9F5" w:rsidR="004C0F8E" w:rsidRPr="00852AD1" w:rsidRDefault="004C0F8E" w:rsidP="009D5DAB">
            <w:pPr>
              <w:jc w:val="center"/>
            </w:pPr>
            <w:r w:rsidRPr="00852AD1">
              <w:t>No</w:t>
            </w:r>
          </w:p>
        </w:tc>
        <w:tc>
          <w:tcPr>
            <w:tcW w:w="2250" w:type="dxa"/>
          </w:tcPr>
          <w:p w14:paraId="1E860E67" w14:textId="77777777" w:rsidR="004C0F8E" w:rsidRPr="00852AD1" w:rsidRDefault="004C0F8E" w:rsidP="009D5DAB">
            <w:pPr>
              <w:jc w:val="center"/>
            </w:pPr>
            <w:r w:rsidRPr="00852AD1">
              <w:t>2004</w:t>
            </w:r>
          </w:p>
        </w:tc>
      </w:tr>
      <w:tr w:rsidR="004C0F8E" w:rsidRPr="00852AD1" w14:paraId="4FC6A65A" w14:textId="77777777" w:rsidTr="004C0F8E">
        <w:tc>
          <w:tcPr>
            <w:tcW w:w="2342" w:type="dxa"/>
          </w:tcPr>
          <w:p w14:paraId="0699B1DF" w14:textId="77777777" w:rsidR="004C0F8E" w:rsidRPr="00852AD1" w:rsidRDefault="004C0F8E" w:rsidP="009D5DAB">
            <w:r w:rsidRPr="00852AD1">
              <w:t>Florida</w:t>
            </w:r>
          </w:p>
        </w:tc>
        <w:tc>
          <w:tcPr>
            <w:tcW w:w="2330" w:type="dxa"/>
          </w:tcPr>
          <w:p w14:paraId="51496904" w14:textId="77777777" w:rsidR="004C0F8E" w:rsidRPr="00852AD1" w:rsidRDefault="004C0F8E" w:rsidP="009D5DAB">
            <w:pPr>
              <w:jc w:val="center"/>
            </w:pPr>
            <w:r w:rsidRPr="00852AD1">
              <w:t>Yes</w:t>
            </w:r>
          </w:p>
        </w:tc>
        <w:tc>
          <w:tcPr>
            <w:tcW w:w="2408" w:type="dxa"/>
          </w:tcPr>
          <w:p w14:paraId="084E905A" w14:textId="0D3F0E20" w:rsidR="004C0F8E" w:rsidRPr="00852AD1" w:rsidRDefault="004C0F8E" w:rsidP="009D5DAB">
            <w:pPr>
              <w:jc w:val="center"/>
            </w:pPr>
            <w:r w:rsidRPr="00852AD1">
              <w:t>No</w:t>
            </w:r>
          </w:p>
        </w:tc>
        <w:tc>
          <w:tcPr>
            <w:tcW w:w="2250" w:type="dxa"/>
          </w:tcPr>
          <w:p w14:paraId="490494A0" w14:textId="77777777" w:rsidR="004C0F8E" w:rsidRPr="00852AD1" w:rsidRDefault="004C0F8E" w:rsidP="009D5DAB">
            <w:pPr>
              <w:jc w:val="center"/>
            </w:pPr>
            <w:r w:rsidRPr="00852AD1">
              <w:t>2004</w:t>
            </w:r>
          </w:p>
        </w:tc>
      </w:tr>
      <w:tr w:rsidR="004C0F8E" w:rsidRPr="00852AD1" w14:paraId="5D644458" w14:textId="77777777" w:rsidTr="004C0F8E">
        <w:trPr>
          <w:trHeight w:val="296"/>
        </w:trPr>
        <w:tc>
          <w:tcPr>
            <w:tcW w:w="2342" w:type="dxa"/>
          </w:tcPr>
          <w:p w14:paraId="12E89793" w14:textId="77777777" w:rsidR="004C0F8E" w:rsidRPr="00852AD1" w:rsidRDefault="004C0F8E" w:rsidP="009D5DAB">
            <w:r w:rsidRPr="00852AD1">
              <w:t>Georgia</w:t>
            </w:r>
          </w:p>
        </w:tc>
        <w:tc>
          <w:tcPr>
            <w:tcW w:w="2330" w:type="dxa"/>
          </w:tcPr>
          <w:p w14:paraId="000BA3D2" w14:textId="77777777" w:rsidR="004C0F8E" w:rsidRPr="00852AD1" w:rsidRDefault="004C0F8E" w:rsidP="009D5DAB">
            <w:pPr>
              <w:jc w:val="center"/>
            </w:pPr>
            <w:r w:rsidRPr="00852AD1">
              <w:t>Yes</w:t>
            </w:r>
          </w:p>
        </w:tc>
        <w:tc>
          <w:tcPr>
            <w:tcW w:w="2408" w:type="dxa"/>
          </w:tcPr>
          <w:p w14:paraId="5998525B" w14:textId="470D8750" w:rsidR="004C0F8E" w:rsidRPr="00852AD1" w:rsidRDefault="004C0F8E" w:rsidP="009D5DAB">
            <w:pPr>
              <w:jc w:val="center"/>
            </w:pPr>
            <w:r w:rsidRPr="00852AD1">
              <w:t>No</w:t>
            </w:r>
          </w:p>
        </w:tc>
        <w:tc>
          <w:tcPr>
            <w:tcW w:w="2250" w:type="dxa"/>
          </w:tcPr>
          <w:p w14:paraId="439C4733" w14:textId="77777777" w:rsidR="004C0F8E" w:rsidRPr="00852AD1" w:rsidRDefault="004C0F8E" w:rsidP="009D5DAB">
            <w:pPr>
              <w:jc w:val="center"/>
            </w:pPr>
            <w:r w:rsidRPr="00852AD1">
              <w:t>1972</w:t>
            </w:r>
          </w:p>
        </w:tc>
      </w:tr>
      <w:tr w:rsidR="004C0F8E" w:rsidRPr="00852AD1" w14:paraId="4235664C" w14:textId="77777777" w:rsidTr="004C0F8E">
        <w:tc>
          <w:tcPr>
            <w:tcW w:w="2342" w:type="dxa"/>
          </w:tcPr>
          <w:p w14:paraId="6A9ED57C" w14:textId="77777777" w:rsidR="004C0F8E" w:rsidRPr="00852AD1" w:rsidRDefault="004C0F8E" w:rsidP="009D5DAB">
            <w:r w:rsidRPr="00852AD1">
              <w:t>Idaho</w:t>
            </w:r>
          </w:p>
        </w:tc>
        <w:tc>
          <w:tcPr>
            <w:tcW w:w="2330" w:type="dxa"/>
          </w:tcPr>
          <w:p w14:paraId="6A70D700" w14:textId="296FDC01" w:rsidR="004C0F8E" w:rsidRPr="00852AD1" w:rsidRDefault="004C0F8E" w:rsidP="009D5DAB">
            <w:pPr>
              <w:jc w:val="center"/>
            </w:pPr>
            <w:r w:rsidRPr="00852AD1">
              <w:t>No</w:t>
            </w:r>
          </w:p>
        </w:tc>
        <w:tc>
          <w:tcPr>
            <w:tcW w:w="2408" w:type="dxa"/>
          </w:tcPr>
          <w:p w14:paraId="05F51CDB" w14:textId="77777777" w:rsidR="004C0F8E" w:rsidRPr="00852AD1" w:rsidRDefault="004C0F8E" w:rsidP="009D5DAB">
            <w:pPr>
              <w:jc w:val="center"/>
            </w:pPr>
            <w:r w:rsidRPr="00852AD1">
              <w:t>Yes</w:t>
            </w:r>
          </w:p>
        </w:tc>
        <w:tc>
          <w:tcPr>
            <w:tcW w:w="2250" w:type="dxa"/>
          </w:tcPr>
          <w:p w14:paraId="2760A8B8" w14:textId="77777777" w:rsidR="004C0F8E" w:rsidRPr="00852AD1" w:rsidRDefault="004C0F8E" w:rsidP="009D5DAB">
            <w:pPr>
              <w:jc w:val="center"/>
            </w:pPr>
            <w:r w:rsidRPr="00852AD1">
              <w:t>2002</w:t>
            </w:r>
          </w:p>
        </w:tc>
      </w:tr>
      <w:tr w:rsidR="004C0F8E" w:rsidRPr="00852AD1" w14:paraId="5BC950FA" w14:textId="77777777" w:rsidTr="004C0F8E">
        <w:tc>
          <w:tcPr>
            <w:tcW w:w="2342" w:type="dxa"/>
          </w:tcPr>
          <w:p w14:paraId="15A24814" w14:textId="77777777" w:rsidR="004C0F8E" w:rsidRPr="00852AD1" w:rsidRDefault="004C0F8E" w:rsidP="009D5DAB">
            <w:r w:rsidRPr="00852AD1">
              <w:t>Indiana</w:t>
            </w:r>
          </w:p>
        </w:tc>
        <w:tc>
          <w:tcPr>
            <w:tcW w:w="2330" w:type="dxa"/>
          </w:tcPr>
          <w:p w14:paraId="0DB3F246" w14:textId="77777777" w:rsidR="004C0F8E" w:rsidRPr="00852AD1" w:rsidRDefault="004C0F8E" w:rsidP="009D5DAB">
            <w:pPr>
              <w:jc w:val="center"/>
            </w:pPr>
            <w:r w:rsidRPr="00852AD1">
              <w:t>Yes</w:t>
            </w:r>
          </w:p>
        </w:tc>
        <w:tc>
          <w:tcPr>
            <w:tcW w:w="2408" w:type="dxa"/>
          </w:tcPr>
          <w:p w14:paraId="4B621416" w14:textId="06480ED3" w:rsidR="004C0F8E" w:rsidRPr="00852AD1" w:rsidRDefault="004C0F8E" w:rsidP="009D5DAB">
            <w:pPr>
              <w:jc w:val="center"/>
            </w:pPr>
            <w:r w:rsidRPr="00852AD1">
              <w:t>No</w:t>
            </w:r>
          </w:p>
        </w:tc>
        <w:tc>
          <w:tcPr>
            <w:tcW w:w="2250" w:type="dxa"/>
          </w:tcPr>
          <w:p w14:paraId="0CA973BA" w14:textId="77777777" w:rsidR="004C0F8E" w:rsidRPr="00852AD1" w:rsidRDefault="004C0F8E" w:rsidP="009D5DAB">
            <w:pPr>
              <w:jc w:val="center"/>
            </w:pPr>
            <w:r w:rsidRPr="00852AD1">
              <w:t>2014</w:t>
            </w:r>
          </w:p>
        </w:tc>
      </w:tr>
      <w:tr w:rsidR="004C0F8E" w:rsidRPr="00852AD1" w14:paraId="3CB7826F" w14:textId="77777777" w:rsidTr="004C0F8E">
        <w:trPr>
          <w:trHeight w:val="305"/>
        </w:trPr>
        <w:tc>
          <w:tcPr>
            <w:tcW w:w="2342" w:type="dxa"/>
          </w:tcPr>
          <w:p w14:paraId="55347FAE" w14:textId="77777777" w:rsidR="004C0F8E" w:rsidRPr="00852AD1" w:rsidRDefault="004C0F8E" w:rsidP="009D5DAB">
            <w:r w:rsidRPr="00852AD1">
              <w:t>Iowa</w:t>
            </w:r>
          </w:p>
        </w:tc>
        <w:tc>
          <w:tcPr>
            <w:tcW w:w="2330" w:type="dxa"/>
          </w:tcPr>
          <w:p w14:paraId="5A130F86" w14:textId="77777777" w:rsidR="004C0F8E" w:rsidRPr="00852AD1" w:rsidRDefault="004C0F8E" w:rsidP="009D5DAB">
            <w:pPr>
              <w:jc w:val="center"/>
            </w:pPr>
            <w:r w:rsidRPr="00852AD1">
              <w:t>No</w:t>
            </w:r>
          </w:p>
        </w:tc>
        <w:tc>
          <w:tcPr>
            <w:tcW w:w="2408" w:type="dxa"/>
          </w:tcPr>
          <w:p w14:paraId="2847754D" w14:textId="77777777" w:rsidR="004C0F8E" w:rsidRPr="00852AD1" w:rsidRDefault="004C0F8E" w:rsidP="009D5DAB">
            <w:pPr>
              <w:jc w:val="center"/>
            </w:pPr>
            <w:r w:rsidRPr="00852AD1">
              <w:t>Yes</w:t>
            </w:r>
          </w:p>
        </w:tc>
        <w:tc>
          <w:tcPr>
            <w:tcW w:w="2250" w:type="dxa"/>
          </w:tcPr>
          <w:p w14:paraId="586BDAD8" w14:textId="77777777" w:rsidR="004C0F8E" w:rsidRPr="00852AD1" w:rsidRDefault="004C0F8E" w:rsidP="009D5DAB">
            <w:pPr>
              <w:jc w:val="center"/>
            </w:pPr>
            <w:r w:rsidRPr="00852AD1">
              <w:t>2001</w:t>
            </w:r>
          </w:p>
        </w:tc>
      </w:tr>
      <w:tr w:rsidR="004C0F8E" w:rsidRPr="00852AD1" w14:paraId="26934BC2" w14:textId="77777777" w:rsidTr="004C0F8E">
        <w:tc>
          <w:tcPr>
            <w:tcW w:w="2342" w:type="dxa"/>
          </w:tcPr>
          <w:p w14:paraId="6713C0BA" w14:textId="77777777" w:rsidR="004C0F8E" w:rsidRPr="00852AD1" w:rsidRDefault="004C0F8E" w:rsidP="009D5DAB">
            <w:r w:rsidRPr="00852AD1">
              <w:t>Kansas</w:t>
            </w:r>
          </w:p>
        </w:tc>
        <w:tc>
          <w:tcPr>
            <w:tcW w:w="2330" w:type="dxa"/>
          </w:tcPr>
          <w:p w14:paraId="7BD588B1" w14:textId="156D7731" w:rsidR="004C0F8E" w:rsidRPr="00852AD1" w:rsidRDefault="004C0F8E" w:rsidP="009D5DAB">
            <w:pPr>
              <w:jc w:val="center"/>
            </w:pPr>
            <w:r w:rsidRPr="00852AD1">
              <w:t>No</w:t>
            </w:r>
          </w:p>
        </w:tc>
        <w:tc>
          <w:tcPr>
            <w:tcW w:w="2408" w:type="dxa"/>
          </w:tcPr>
          <w:p w14:paraId="49E9E86F" w14:textId="77777777" w:rsidR="004C0F8E" w:rsidRPr="00852AD1" w:rsidRDefault="004C0F8E" w:rsidP="009D5DAB">
            <w:pPr>
              <w:jc w:val="center"/>
            </w:pPr>
            <w:r w:rsidRPr="00852AD1">
              <w:t>Yes</w:t>
            </w:r>
          </w:p>
        </w:tc>
        <w:tc>
          <w:tcPr>
            <w:tcW w:w="2250" w:type="dxa"/>
          </w:tcPr>
          <w:p w14:paraId="2D86C729" w14:textId="77777777" w:rsidR="004C0F8E" w:rsidRPr="00852AD1" w:rsidRDefault="004C0F8E" w:rsidP="009D5DAB">
            <w:pPr>
              <w:jc w:val="center"/>
            </w:pPr>
            <w:r w:rsidRPr="00852AD1">
              <w:t>2003</w:t>
            </w:r>
          </w:p>
        </w:tc>
      </w:tr>
      <w:tr w:rsidR="004C0F8E" w:rsidRPr="00852AD1" w14:paraId="3A6E5687" w14:textId="77777777" w:rsidTr="004C0F8E">
        <w:tc>
          <w:tcPr>
            <w:tcW w:w="2342" w:type="dxa"/>
          </w:tcPr>
          <w:p w14:paraId="7BCE1F79" w14:textId="77777777" w:rsidR="004C0F8E" w:rsidRPr="00852AD1" w:rsidRDefault="004C0F8E" w:rsidP="009D5DAB">
            <w:r w:rsidRPr="00852AD1">
              <w:t>Kentucky</w:t>
            </w:r>
          </w:p>
        </w:tc>
        <w:tc>
          <w:tcPr>
            <w:tcW w:w="2330" w:type="dxa"/>
          </w:tcPr>
          <w:p w14:paraId="2D9A6888" w14:textId="77777777" w:rsidR="004C0F8E" w:rsidRPr="00852AD1" w:rsidRDefault="004C0F8E" w:rsidP="009D5DAB">
            <w:pPr>
              <w:jc w:val="center"/>
            </w:pPr>
            <w:r w:rsidRPr="00852AD1">
              <w:t>Yes</w:t>
            </w:r>
          </w:p>
        </w:tc>
        <w:tc>
          <w:tcPr>
            <w:tcW w:w="2408" w:type="dxa"/>
          </w:tcPr>
          <w:p w14:paraId="17A901C0" w14:textId="77777777" w:rsidR="004C0F8E" w:rsidRPr="00852AD1" w:rsidRDefault="004C0F8E" w:rsidP="009D5DAB">
            <w:pPr>
              <w:jc w:val="center"/>
            </w:pPr>
          </w:p>
        </w:tc>
        <w:tc>
          <w:tcPr>
            <w:tcW w:w="2250" w:type="dxa"/>
          </w:tcPr>
          <w:p w14:paraId="49B4DC25" w14:textId="77777777" w:rsidR="004C0F8E" w:rsidRPr="00852AD1" w:rsidRDefault="004C0F8E" w:rsidP="009D5DAB">
            <w:pPr>
              <w:jc w:val="center"/>
            </w:pPr>
            <w:r w:rsidRPr="00852AD1">
              <w:t>2002 (AA), 2012 (“Opt-out”)</w:t>
            </w:r>
          </w:p>
        </w:tc>
      </w:tr>
      <w:tr w:rsidR="004C0F8E" w:rsidRPr="00852AD1" w14:paraId="4C146030" w14:textId="77777777" w:rsidTr="004C0F8E">
        <w:trPr>
          <w:trHeight w:val="296"/>
        </w:trPr>
        <w:tc>
          <w:tcPr>
            <w:tcW w:w="2342" w:type="dxa"/>
          </w:tcPr>
          <w:p w14:paraId="35FA3FC7" w14:textId="77777777" w:rsidR="004C0F8E" w:rsidRPr="00852AD1" w:rsidRDefault="004C0F8E" w:rsidP="009D5DAB">
            <w:r w:rsidRPr="00852AD1">
              <w:t>Michigan</w:t>
            </w:r>
          </w:p>
        </w:tc>
        <w:tc>
          <w:tcPr>
            <w:tcW w:w="2330" w:type="dxa"/>
          </w:tcPr>
          <w:p w14:paraId="5C6D7AC0" w14:textId="77777777" w:rsidR="004C0F8E" w:rsidRPr="00852AD1" w:rsidRDefault="004C0F8E" w:rsidP="009D5DAB">
            <w:pPr>
              <w:jc w:val="center"/>
            </w:pPr>
            <w:r w:rsidRPr="00852AD1">
              <w:t>Yes</w:t>
            </w:r>
          </w:p>
        </w:tc>
        <w:tc>
          <w:tcPr>
            <w:tcW w:w="2408" w:type="dxa"/>
          </w:tcPr>
          <w:p w14:paraId="6F0B0033" w14:textId="238251AB" w:rsidR="004C0F8E" w:rsidRPr="00852AD1" w:rsidRDefault="004C0F8E" w:rsidP="009D5DAB">
            <w:pPr>
              <w:jc w:val="center"/>
            </w:pPr>
            <w:r w:rsidRPr="00852AD1">
              <w:t>No</w:t>
            </w:r>
          </w:p>
        </w:tc>
        <w:tc>
          <w:tcPr>
            <w:tcW w:w="2250" w:type="dxa"/>
          </w:tcPr>
          <w:p w14:paraId="14138650" w14:textId="77777777" w:rsidR="004C0F8E" w:rsidRPr="00852AD1" w:rsidRDefault="004C0F8E" w:rsidP="009D5DAB">
            <w:pPr>
              <w:jc w:val="center"/>
            </w:pPr>
            <w:r w:rsidRPr="00852AD1">
              <w:t>1978</w:t>
            </w:r>
          </w:p>
        </w:tc>
      </w:tr>
      <w:tr w:rsidR="004C0F8E" w:rsidRPr="00852AD1" w14:paraId="463A92B4" w14:textId="77777777" w:rsidTr="004C0F8E">
        <w:tc>
          <w:tcPr>
            <w:tcW w:w="2342" w:type="dxa"/>
          </w:tcPr>
          <w:p w14:paraId="44BAE2F6" w14:textId="77777777" w:rsidR="004C0F8E" w:rsidRPr="00852AD1" w:rsidRDefault="004C0F8E" w:rsidP="009D5DAB">
            <w:r w:rsidRPr="00852AD1">
              <w:t>Minnesota</w:t>
            </w:r>
          </w:p>
        </w:tc>
        <w:tc>
          <w:tcPr>
            <w:tcW w:w="2330" w:type="dxa"/>
          </w:tcPr>
          <w:p w14:paraId="50A1C2D2" w14:textId="5983CFCE" w:rsidR="004C0F8E" w:rsidRPr="00852AD1" w:rsidRDefault="004C0F8E" w:rsidP="009D5DAB">
            <w:pPr>
              <w:jc w:val="center"/>
            </w:pPr>
            <w:r w:rsidRPr="00852AD1">
              <w:t>No</w:t>
            </w:r>
          </w:p>
        </w:tc>
        <w:tc>
          <w:tcPr>
            <w:tcW w:w="2408" w:type="dxa"/>
          </w:tcPr>
          <w:p w14:paraId="68BBC8C1" w14:textId="77777777" w:rsidR="004C0F8E" w:rsidRPr="00852AD1" w:rsidRDefault="004C0F8E" w:rsidP="009D5DAB">
            <w:pPr>
              <w:jc w:val="center"/>
            </w:pPr>
            <w:r w:rsidRPr="00852AD1">
              <w:t>Yes</w:t>
            </w:r>
          </w:p>
        </w:tc>
        <w:tc>
          <w:tcPr>
            <w:tcW w:w="2250" w:type="dxa"/>
          </w:tcPr>
          <w:p w14:paraId="0711857C" w14:textId="77777777" w:rsidR="004C0F8E" w:rsidRPr="00852AD1" w:rsidRDefault="004C0F8E" w:rsidP="009D5DAB">
            <w:pPr>
              <w:jc w:val="center"/>
            </w:pPr>
            <w:r w:rsidRPr="00852AD1">
              <w:t>2002</w:t>
            </w:r>
          </w:p>
        </w:tc>
      </w:tr>
      <w:tr w:rsidR="004C0F8E" w:rsidRPr="00852AD1" w14:paraId="0D14B594" w14:textId="77777777" w:rsidTr="004C0F8E">
        <w:tc>
          <w:tcPr>
            <w:tcW w:w="2342" w:type="dxa"/>
          </w:tcPr>
          <w:p w14:paraId="501AE71F" w14:textId="77777777" w:rsidR="004C0F8E" w:rsidRPr="00852AD1" w:rsidRDefault="004C0F8E" w:rsidP="009D5DAB">
            <w:r w:rsidRPr="00852AD1">
              <w:t>Missouri</w:t>
            </w:r>
          </w:p>
        </w:tc>
        <w:tc>
          <w:tcPr>
            <w:tcW w:w="2330" w:type="dxa"/>
          </w:tcPr>
          <w:p w14:paraId="33216109" w14:textId="77777777" w:rsidR="004C0F8E" w:rsidRPr="00852AD1" w:rsidRDefault="004C0F8E" w:rsidP="009D5DAB">
            <w:pPr>
              <w:jc w:val="center"/>
            </w:pPr>
            <w:r w:rsidRPr="00852AD1">
              <w:t>Yes</w:t>
            </w:r>
          </w:p>
        </w:tc>
        <w:tc>
          <w:tcPr>
            <w:tcW w:w="2408" w:type="dxa"/>
          </w:tcPr>
          <w:p w14:paraId="229468C5" w14:textId="77777777" w:rsidR="004C0F8E" w:rsidRPr="00852AD1" w:rsidRDefault="004C0F8E" w:rsidP="009D5DAB">
            <w:pPr>
              <w:jc w:val="center"/>
            </w:pPr>
          </w:p>
        </w:tc>
        <w:tc>
          <w:tcPr>
            <w:tcW w:w="2250" w:type="dxa"/>
          </w:tcPr>
          <w:p w14:paraId="32840085" w14:textId="77777777" w:rsidR="004C0F8E" w:rsidRPr="00852AD1" w:rsidRDefault="004C0F8E" w:rsidP="009D5DAB">
            <w:pPr>
              <w:jc w:val="center"/>
            </w:pPr>
            <w:r w:rsidRPr="00852AD1">
              <w:t>2003</w:t>
            </w:r>
          </w:p>
        </w:tc>
      </w:tr>
      <w:tr w:rsidR="004C0F8E" w:rsidRPr="00852AD1" w14:paraId="3AFC3B21" w14:textId="77777777" w:rsidTr="004C0F8E">
        <w:trPr>
          <w:trHeight w:val="323"/>
        </w:trPr>
        <w:tc>
          <w:tcPr>
            <w:tcW w:w="2342" w:type="dxa"/>
          </w:tcPr>
          <w:p w14:paraId="6E869846" w14:textId="77777777" w:rsidR="004C0F8E" w:rsidRPr="00852AD1" w:rsidRDefault="004C0F8E" w:rsidP="009D5DAB">
            <w:r w:rsidRPr="00852AD1">
              <w:t>Montana</w:t>
            </w:r>
          </w:p>
        </w:tc>
        <w:tc>
          <w:tcPr>
            <w:tcW w:w="2330" w:type="dxa"/>
          </w:tcPr>
          <w:p w14:paraId="3C8CA765" w14:textId="30C80501" w:rsidR="004C0F8E" w:rsidRPr="00852AD1" w:rsidRDefault="004C0F8E" w:rsidP="009D5DAB">
            <w:pPr>
              <w:jc w:val="center"/>
            </w:pPr>
            <w:r w:rsidRPr="00852AD1">
              <w:t>No</w:t>
            </w:r>
          </w:p>
        </w:tc>
        <w:tc>
          <w:tcPr>
            <w:tcW w:w="2408" w:type="dxa"/>
          </w:tcPr>
          <w:p w14:paraId="7AFEB22B" w14:textId="77777777" w:rsidR="004C0F8E" w:rsidRPr="00852AD1" w:rsidRDefault="004C0F8E" w:rsidP="009D5DAB">
            <w:pPr>
              <w:jc w:val="center"/>
            </w:pPr>
            <w:r w:rsidRPr="00852AD1">
              <w:t>Yes</w:t>
            </w:r>
          </w:p>
        </w:tc>
        <w:tc>
          <w:tcPr>
            <w:tcW w:w="2250" w:type="dxa"/>
          </w:tcPr>
          <w:p w14:paraId="18060BB7" w14:textId="77777777" w:rsidR="004C0F8E" w:rsidRPr="00852AD1" w:rsidRDefault="004C0F8E" w:rsidP="009D5DAB">
            <w:pPr>
              <w:jc w:val="center"/>
            </w:pPr>
            <w:r w:rsidRPr="00852AD1">
              <w:t>2004</w:t>
            </w:r>
          </w:p>
        </w:tc>
      </w:tr>
      <w:tr w:rsidR="004C0F8E" w:rsidRPr="00852AD1" w14:paraId="237F3889" w14:textId="77777777" w:rsidTr="004C0F8E">
        <w:tc>
          <w:tcPr>
            <w:tcW w:w="2342" w:type="dxa"/>
          </w:tcPr>
          <w:p w14:paraId="79753E0C" w14:textId="77777777" w:rsidR="004C0F8E" w:rsidRPr="00852AD1" w:rsidRDefault="004C0F8E" w:rsidP="009D5DAB">
            <w:r w:rsidRPr="00852AD1">
              <w:t>Nebraska</w:t>
            </w:r>
          </w:p>
        </w:tc>
        <w:tc>
          <w:tcPr>
            <w:tcW w:w="2330" w:type="dxa"/>
          </w:tcPr>
          <w:p w14:paraId="21DA4321" w14:textId="0474B1D0" w:rsidR="004C0F8E" w:rsidRPr="00852AD1" w:rsidRDefault="004C0F8E" w:rsidP="009D5DAB">
            <w:pPr>
              <w:jc w:val="center"/>
            </w:pPr>
            <w:r w:rsidRPr="00852AD1">
              <w:t>No</w:t>
            </w:r>
          </w:p>
        </w:tc>
        <w:tc>
          <w:tcPr>
            <w:tcW w:w="2408" w:type="dxa"/>
          </w:tcPr>
          <w:p w14:paraId="4D4E0AB3" w14:textId="77777777" w:rsidR="004C0F8E" w:rsidRPr="00852AD1" w:rsidRDefault="004C0F8E" w:rsidP="009D5DAB">
            <w:pPr>
              <w:jc w:val="center"/>
            </w:pPr>
            <w:r w:rsidRPr="00852AD1">
              <w:t>Yes</w:t>
            </w:r>
          </w:p>
        </w:tc>
        <w:tc>
          <w:tcPr>
            <w:tcW w:w="2250" w:type="dxa"/>
          </w:tcPr>
          <w:p w14:paraId="45FD5A55" w14:textId="77777777" w:rsidR="004C0F8E" w:rsidRPr="00852AD1" w:rsidRDefault="004C0F8E" w:rsidP="009D5DAB">
            <w:pPr>
              <w:jc w:val="center"/>
            </w:pPr>
            <w:r w:rsidRPr="00852AD1">
              <w:t>2002</w:t>
            </w:r>
          </w:p>
        </w:tc>
      </w:tr>
      <w:tr w:rsidR="004C0F8E" w:rsidRPr="00852AD1" w14:paraId="4260F38F" w14:textId="77777777" w:rsidTr="004C0F8E">
        <w:tc>
          <w:tcPr>
            <w:tcW w:w="2342" w:type="dxa"/>
          </w:tcPr>
          <w:p w14:paraId="62A8A873" w14:textId="77777777" w:rsidR="004C0F8E" w:rsidRPr="00852AD1" w:rsidRDefault="004C0F8E" w:rsidP="009D5DAB">
            <w:r w:rsidRPr="00852AD1">
              <w:t>New Hampshire</w:t>
            </w:r>
          </w:p>
        </w:tc>
        <w:tc>
          <w:tcPr>
            <w:tcW w:w="2330" w:type="dxa"/>
          </w:tcPr>
          <w:p w14:paraId="7B5324F5" w14:textId="0BD61FC1" w:rsidR="004C0F8E" w:rsidRPr="00852AD1" w:rsidRDefault="004C0F8E" w:rsidP="009D5DAB">
            <w:pPr>
              <w:jc w:val="center"/>
            </w:pPr>
            <w:r w:rsidRPr="00852AD1">
              <w:t>No</w:t>
            </w:r>
          </w:p>
        </w:tc>
        <w:tc>
          <w:tcPr>
            <w:tcW w:w="2408" w:type="dxa"/>
          </w:tcPr>
          <w:p w14:paraId="3FBDBB66" w14:textId="77777777" w:rsidR="004C0F8E" w:rsidRPr="00852AD1" w:rsidRDefault="004C0F8E" w:rsidP="009D5DAB">
            <w:pPr>
              <w:jc w:val="center"/>
            </w:pPr>
            <w:r w:rsidRPr="00852AD1">
              <w:t>Yes</w:t>
            </w:r>
          </w:p>
        </w:tc>
        <w:tc>
          <w:tcPr>
            <w:tcW w:w="2250" w:type="dxa"/>
          </w:tcPr>
          <w:p w14:paraId="6CCAFD36" w14:textId="77777777" w:rsidR="004C0F8E" w:rsidRPr="00852AD1" w:rsidRDefault="004C0F8E" w:rsidP="009D5DAB">
            <w:pPr>
              <w:jc w:val="center"/>
            </w:pPr>
            <w:r w:rsidRPr="00852AD1">
              <w:t>2002</w:t>
            </w:r>
          </w:p>
        </w:tc>
      </w:tr>
      <w:tr w:rsidR="004C0F8E" w:rsidRPr="00852AD1" w14:paraId="6D0D5BB7" w14:textId="77777777" w:rsidTr="004C0F8E">
        <w:tc>
          <w:tcPr>
            <w:tcW w:w="2342" w:type="dxa"/>
          </w:tcPr>
          <w:p w14:paraId="1C6C8101" w14:textId="77777777" w:rsidR="004C0F8E" w:rsidRPr="00852AD1" w:rsidRDefault="004C0F8E" w:rsidP="009D5DAB">
            <w:r w:rsidRPr="00852AD1">
              <w:t>New Mexico</w:t>
            </w:r>
          </w:p>
        </w:tc>
        <w:tc>
          <w:tcPr>
            <w:tcW w:w="2330" w:type="dxa"/>
          </w:tcPr>
          <w:p w14:paraId="099DC4DB" w14:textId="77777777" w:rsidR="004C0F8E" w:rsidRPr="00852AD1" w:rsidRDefault="004C0F8E" w:rsidP="009D5DAB">
            <w:pPr>
              <w:jc w:val="center"/>
            </w:pPr>
            <w:r w:rsidRPr="00852AD1">
              <w:t>Yes</w:t>
            </w:r>
          </w:p>
        </w:tc>
        <w:tc>
          <w:tcPr>
            <w:tcW w:w="2408" w:type="dxa"/>
          </w:tcPr>
          <w:p w14:paraId="0495AF99" w14:textId="77777777" w:rsidR="004C0F8E" w:rsidRPr="00852AD1" w:rsidRDefault="004C0F8E" w:rsidP="009D5DAB">
            <w:pPr>
              <w:jc w:val="center"/>
            </w:pPr>
            <w:r w:rsidRPr="00852AD1">
              <w:t>Yes</w:t>
            </w:r>
          </w:p>
        </w:tc>
        <w:tc>
          <w:tcPr>
            <w:tcW w:w="2250" w:type="dxa"/>
          </w:tcPr>
          <w:p w14:paraId="7D7E303C" w14:textId="77777777" w:rsidR="004C0F8E" w:rsidRPr="00852AD1" w:rsidRDefault="004C0F8E" w:rsidP="009D5DAB">
            <w:pPr>
              <w:jc w:val="center"/>
            </w:pPr>
            <w:r w:rsidRPr="00852AD1">
              <w:t>2001 (AA), 2002 (“Opt-out”)</w:t>
            </w:r>
          </w:p>
        </w:tc>
      </w:tr>
      <w:tr w:rsidR="004C0F8E" w:rsidRPr="00852AD1" w14:paraId="7C082D67" w14:textId="77777777" w:rsidTr="004C0F8E">
        <w:tc>
          <w:tcPr>
            <w:tcW w:w="2342" w:type="dxa"/>
          </w:tcPr>
          <w:p w14:paraId="3484674E" w14:textId="77777777" w:rsidR="004C0F8E" w:rsidRPr="00852AD1" w:rsidRDefault="004C0F8E" w:rsidP="009D5DAB">
            <w:r w:rsidRPr="00852AD1">
              <w:t>North Carolina</w:t>
            </w:r>
          </w:p>
        </w:tc>
        <w:tc>
          <w:tcPr>
            <w:tcW w:w="2330" w:type="dxa"/>
          </w:tcPr>
          <w:p w14:paraId="567BDD7F" w14:textId="77777777" w:rsidR="004C0F8E" w:rsidRPr="00852AD1" w:rsidRDefault="004C0F8E" w:rsidP="009D5DAB">
            <w:pPr>
              <w:jc w:val="center"/>
            </w:pPr>
            <w:r w:rsidRPr="00852AD1">
              <w:t>Yes</w:t>
            </w:r>
          </w:p>
        </w:tc>
        <w:tc>
          <w:tcPr>
            <w:tcW w:w="2408" w:type="dxa"/>
          </w:tcPr>
          <w:p w14:paraId="68ED39E2" w14:textId="308CE284" w:rsidR="004C0F8E" w:rsidRPr="00852AD1" w:rsidRDefault="004C0F8E" w:rsidP="009D5DAB">
            <w:pPr>
              <w:jc w:val="center"/>
            </w:pPr>
            <w:r w:rsidRPr="00852AD1">
              <w:t>No</w:t>
            </w:r>
          </w:p>
        </w:tc>
        <w:tc>
          <w:tcPr>
            <w:tcW w:w="2250" w:type="dxa"/>
          </w:tcPr>
          <w:p w14:paraId="6FD290C1" w14:textId="77777777" w:rsidR="004C0F8E" w:rsidRPr="00852AD1" w:rsidRDefault="004C0F8E" w:rsidP="009D5DAB">
            <w:pPr>
              <w:jc w:val="center"/>
            </w:pPr>
            <w:r w:rsidRPr="00852AD1">
              <w:t>2007</w:t>
            </w:r>
          </w:p>
        </w:tc>
      </w:tr>
      <w:tr w:rsidR="004C0F8E" w:rsidRPr="00852AD1" w14:paraId="092395D1" w14:textId="77777777" w:rsidTr="004C0F8E">
        <w:tc>
          <w:tcPr>
            <w:tcW w:w="2342" w:type="dxa"/>
          </w:tcPr>
          <w:p w14:paraId="60C2BAD5" w14:textId="77777777" w:rsidR="004C0F8E" w:rsidRPr="00852AD1" w:rsidRDefault="004C0F8E" w:rsidP="009D5DAB">
            <w:r w:rsidRPr="00852AD1">
              <w:t>North Dakota</w:t>
            </w:r>
          </w:p>
        </w:tc>
        <w:tc>
          <w:tcPr>
            <w:tcW w:w="2330" w:type="dxa"/>
          </w:tcPr>
          <w:p w14:paraId="2986654E" w14:textId="27DAACA9" w:rsidR="004C0F8E" w:rsidRPr="00852AD1" w:rsidRDefault="004C0F8E" w:rsidP="009D5DAB">
            <w:pPr>
              <w:jc w:val="center"/>
            </w:pPr>
            <w:r w:rsidRPr="00852AD1">
              <w:t>No</w:t>
            </w:r>
          </w:p>
        </w:tc>
        <w:tc>
          <w:tcPr>
            <w:tcW w:w="2408" w:type="dxa"/>
          </w:tcPr>
          <w:p w14:paraId="23E938B4" w14:textId="77777777" w:rsidR="004C0F8E" w:rsidRPr="00852AD1" w:rsidRDefault="004C0F8E" w:rsidP="009D5DAB">
            <w:pPr>
              <w:jc w:val="center"/>
            </w:pPr>
            <w:r w:rsidRPr="00852AD1">
              <w:t>Yes</w:t>
            </w:r>
          </w:p>
        </w:tc>
        <w:tc>
          <w:tcPr>
            <w:tcW w:w="2250" w:type="dxa"/>
          </w:tcPr>
          <w:p w14:paraId="4531234A" w14:textId="77777777" w:rsidR="004C0F8E" w:rsidRPr="00852AD1" w:rsidRDefault="004C0F8E" w:rsidP="009D5DAB">
            <w:pPr>
              <w:jc w:val="center"/>
            </w:pPr>
            <w:r w:rsidRPr="00852AD1">
              <w:t>2003</w:t>
            </w:r>
          </w:p>
        </w:tc>
      </w:tr>
      <w:tr w:rsidR="004C0F8E" w:rsidRPr="00852AD1" w14:paraId="63CFA0A2" w14:textId="77777777" w:rsidTr="004C0F8E">
        <w:tc>
          <w:tcPr>
            <w:tcW w:w="2342" w:type="dxa"/>
          </w:tcPr>
          <w:p w14:paraId="353734CA" w14:textId="77777777" w:rsidR="004C0F8E" w:rsidRPr="00852AD1" w:rsidRDefault="004C0F8E" w:rsidP="009D5DAB">
            <w:r w:rsidRPr="00852AD1">
              <w:t>Ohio</w:t>
            </w:r>
          </w:p>
        </w:tc>
        <w:tc>
          <w:tcPr>
            <w:tcW w:w="2330" w:type="dxa"/>
          </w:tcPr>
          <w:p w14:paraId="21F0F643" w14:textId="77777777" w:rsidR="004C0F8E" w:rsidRPr="00852AD1" w:rsidRDefault="004C0F8E" w:rsidP="009D5DAB">
            <w:pPr>
              <w:jc w:val="center"/>
            </w:pPr>
            <w:r w:rsidRPr="00852AD1">
              <w:t>Yes</w:t>
            </w:r>
          </w:p>
        </w:tc>
        <w:tc>
          <w:tcPr>
            <w:tcW w:w="2408" w:type="dxa"/>
          </w:tcPr>
          <w:p w14:paraId="342429C1" w14:textId="0B1E868C" w:rsidR="004C0F8E" w:rsidRPr="00852AD1" w:rsidRDefault="004C0F8E" w:rsidP="009D5DAB">
            <w:pPr>
              <w:jc w:val="center"/>
            </w:pPr>
            <w:r w:rsidRPr="00852AD1">
              <w:t>No</w:t>
            </w:r>
          </w:p>
        </w:tc>
        <w:tc>
          <w:tcPr>
            <w:tcW w:w="2250" w:type="dxa"/>
          </w:tcPr>
          <w:p w14:paraId="6A629A8A" w14:textId="77777777" w:rsidR="004C0F8E" w:rsidRPr="00852AD1" w:rsidRDefault="004C0F8E" w:rsidP="009D5DAB">
            <w:pPr>
              <w:jc w:val="center"/>
            </w:pPr>
            <w:r w:rsidRPr="00852AD1">
              <w:t>2000</w:t>
            </w:r>
          </w:p>
        </w:tc>
      </w:tr>
      <w:tr w:rsidR="004C0F8E" w:rsidRPr="00852AD1" w14:paraId="305F9840" w14:textId="77777777" w:rsidTr="004C0F8E">
        <w:tc>
          <w:tcPr>
            <w:tcW w:w="2342" w:type="dxa"/>
          </w:tcPr>
          <w:p w14:paraId="2F525466" w14:textId="77777777" w:rsidR="004C0F8E" w:rsidRPr="00852AD1" w:rsidRDefault="004C0F8E" w:rsidP="009D5DAB">
            <w:r w:rsidRPr="00852AD1">
              <w:t>Oregon</w:t>
            </w:r>
          </w:p>
        </w:tc>
        <w:tc>
          <w:tcPr>
            <w:tcW w:w="2330" w:type="dxa"/>
          </w:tcPr>
          <w:p w14:paraId="047C95F7" w14:textId="2D1C5059" w:rsidR="004C0F8E" w:rsidRPr="00852AD1" w:rsidRDefault="004C0F8E" w:rsidP="009D5DAB">
            <w:pPr>
              <w:jc w:val="center"/>
            </w:pPr>
            <w:r w:rsidRPr="00852AD1">
              <w:t>No</w:t>
            </w:r>
          </w:p>
        </w:tc>
        <w:tc>
          <w:tcPr>
            <w:tcW w:w="2408" w:type="dxa"/>
          </w:tcPr>
          <w:p w14:paraId="3A91CE17" w14:textId="77777777" w:rsidR="004C0F8E" w:rsidRPr="00852AD1" w:rsidRDefault="004C0F8E" w:rsidP="009D5DAB">
            <w:pPr>
              <w:jc w:val="center"/>
            </w:pPr>
            <w:r w:rsidRPr="00852AD1">
              <w:t>Yes</w:t>
            </w:r>
          </w:p>
        </w:tc>
        <w:tc>
          <w:tcPr>
            <w:tcW w:w="2250" w:type="dxa"/>
          </w:tcPr>
          <w:p w14:paraId="069C2C63" w14:textId="77777777" w:rsidR="004C0F8E" w:rsidRPr="00852AD1" w:rsidRDefault="004C0F8E" w:rsidP="009D5DAB">
            <w:pPr>
              <w:jc w:val="center"/>
            </w:pPr>
            <w:r w:rsidRPr="00852AD1">
              <w:t>2003</w:t>
            </w:r>
          </w:p>
        </w:tc>
      </w:tr>
      <w:tr w:rsidR="004C0F8E" w:rsidRPr="00852AD1" w14:paraId="2BDB1449" w14:textId="77777777" w:rsidTr="004C0F8E">
        <w:trPr>
          <w:trHeight w:val="314"/>
        </w:trPr>
        <w:tc>
          <w:tcPr>
            <w:tcW w:w="2342" w:type="dxa"/>
          </w:tcPr>
          <w:p w14:paraId="5E609143" w14:textId="77777777" w:rsidR="004C0F8E" w:rsidRPr="00852AD1" w:rsidRDefault="004C0F8E" w:rsidP="009D5DAB">
            <w:r w:rsidRPr="00852AD1">
              <w:t>Oklahoma</w:t>
            </w:r>
          </w:p>
        </w:tc>
        <w:tc>
          <w:tcPr>
            <w:tcW w:w="2330" w:type="dxa"/>
          </w:tcPr>
          <w:p w14:paraId="39B19227" w14:textId="77777777" w:rsidR="004C0F8E" w:rsidRPr="00852AD1" w:rsidRDefault="004C0F8E" w:rsidP="009D5DAB">
            <w:pPr>
              <w:jc w:val="center"/>
            </w:pPr>
            <w:r w:rsidRPr="00852AD1">
              <w:t>Yes</w:t>
            </w:r>
          </w:p>
        </w:tc>
        <w:tc>
          <w:tcPr>
            <w:tcW w:w="2408" w:type="dxa"/>
          </w:tcPr>
          <w:p w14:paraId="6C40C1B3" w14:textId="0A89D62D" w:rsidR="004C0F8E" w:rsidRPr="00852AD1" w:rsidRDefault="004C0F8E" w:rsidP="009D5DAB">
            <w:pPr>
              <w:jc w:val="center"/>
            </w:pPr>
            <w:r w:rsidRPr="00852AD1">
              <w:t>No</w:t>
            </w:r>
          </w:p>
        </w:tc>
        <w:tc>
          <w:tcPr>
            <w:tcW w:w="2250" w:type="dxa"/>
          </w:tcPr>
          <w:p w14:paraId="0B53E093" w14:textId="77777777" w:rsidR="004C0F8E" w:rsidRPr="00852AD1" w:rsidRDefault="004C0F8E" w:rsidP="009D5DAB">
            <w:pPr>
              <w:jc w:val="center"/>
            </w:pPr>
            <w:r w:rsidRPr="00852AD1">
              <w:t>2008</w:t>
            </w:r>
          </w:p>
        </w:tc>
      </w:tr>
      <w:tr w:rsidR="004C0F8E" w:rsidRPr="00852AD1" w14:paraId="61B8139D" w14:textId="77777777" w:rsidTr="004C0F8E">
        <w:tc>
          <w:tcPr>
            <w:tcW w:w="2342" w:type="dxa"/>
          </w:tcPr>
          <w:p w14:paraId="0EA606CB" w14:textId="77777777" w:rsidR="004C0F8E" w:rsidRPr="00852AD1" w:rsidRDefault="004C0F8E" w:rsidP="009D5DAB">
            <w:r w:rsidRPr="00852AD1">
              <w:t>South Carolina</w:t>
            </w:r>
          </w:p>
        </w:tc>
        <w:tc>
          <w:tcPr>
            <w:tcW w:w="2330" w:type="dxa"/>
          </w:tcPr>
          <w:p w14:paraId="125F5E29" w14:textId="77777777" w:rsidR="004C0F8E" w:rsidRPr="00852AD1" w:rsidRDefault="004C0F8E" w:rsidP="009D5DAB">
            <w:pPr>
              <w:jc w:val="center"/>
            </w:pPr>
            <w:r w:rsidRPr="00852AD1">
              <w:t>Yes</w:t>
            </w:r>
          </w:p>
        </w:tc>
        <w:tc>
          <w:tcPr>
            <w:tcW w:w="2408" w:type="dxa"/>
          </w:tcPr>
          <w:p w14:paraId="6FABF826" w14:textId="3256B3E1" w:rsidR="004C0F8E" w:rsidRPr="00852AD1" w:rsidRDefault="004C0F8E" w:rsidP="009D5DAB">
            <w:pPr>
              <w:jc w:val="center"/>
            </w:pPr>
            <w:r w:rsidRPr="00852AD1">
              <w:t>No</w:t>
            </w:r>
          </w:p>
        </w:tc>
        <w:tc>
          <w:tcPr>
            <w:tcW w:w="2250" w:type="dxa"/>
          </w:tcPr>
          <w:p w14:paraId="335BBEEB" w14:textId="77777777" w:rsidR="004C0F8E" w:rsidRPr="00852AD1" w:rsidRDefault="004C0F8E" w:rsidP="009D5DAB">
            <w:pPr>
              <w:jc w:val="center"/>
            </w:pPr>
            <w:r w:rsidRPr="00852AD1">
              <w:t>2001</w:t>
            </w:r>
          </w:p>
        </w:tc>
      </w:tr>
      <w:tr w:rsidR="004C0F8E" w:rsidRPr="00852AD1" w14:paraId="5DA2F860" w14:textId="77777777" w:rsidTr="004C0F8E">
        <w:tc>
          <w:tcPr>
            <w:tcW w:w="2342" w:type="dxa"/>
          </w:tcPr>
          <w:p w14:paraId="6DD54A7F" w14:textId="77777777" w:rsidR="004C0F8E" w:rsidRPr="00852AD1" w:rsidRDefault="004C0F8E" w:rsidP="009D5DAB">
            <w:r w:rsidRPr="00852AD1">
              <w:t>South Dakota</w:t>
            </w:r>
          </w:p>
        </w:tc>
        <w:tc>
          <w:tcPr>
            <w:tcW w:w="2330" w:type="dxa"/>
          </w:tcPr>
          <w:p w14:paraId="2A97C986" w14:textId="7EDBAFDE" w:rsidR="004C0F8E" w:rsidRPr="00852AD1" w:rsidRDefault="004C0F8E" w:rsidP="009D5DAB">
            <w:pPr>
              <w:jc w:val="center"/>
            </w:pPr>
            <w:r w:rsidRPr="00852AD1">
              <w:t>No</w:t>
            </w:r>
          </w:p>
        </w:tc>
        <w:tc>
          <w:tcPr>
            <w:tcW w:w="2408" w:type="dxa"/>
          </w:tcPr>
          <w:p w14:paraId="1C1AD600" w14:textId="77777777" w:rsidR="004C0F8E" w:rsidRPr="00852AD1" w:rsidRDefault="004C0F8E" w:rsidP="009D5DAB">
            <w:pPr>
              <w:jc w:val="center"/>
            </w:pPr>
            <w:r w:rsidRPr="00852AD1">
              <w:t>Yes</w:t>
            </w:r>
          </w:p>
        </w:tc>
        <w:tc>
          <w:tcPr>
            <w:tcW w:w="2250" w:type="dxa"/>
          </w:tcPr>
          <w:p w14:paraId="4C9079F1" w14:textId="77777777" w:rsidR="004C0F8E" w:rsidRPr="00852AD1" w:rsidRDefault="004C0F8E" w:rsidP="009D5DAB">
            <w:pPr>
              <w:jc w:val="center"/>
            </w:pPr>
            <w:r w:rsidRPr="00852AD1">
              <w:t>2005</w:t>
            </w:r>
          </w:p>
        </w:tc>
      </w:tr>
      <w:tr w:rsidR="004C0F8E" w:rsidRPr="00852AD1" w14:paraId="02AC0E9E" w14:textId="77777777" w:rsidTr="004C0F8E">
        <w:tc>
          <w:tcPr>
            <w:tcW w:w="2342" w:type="dxa"/>
          </w:tcPr>
          <w:p w14:paraId="501F754F" w14:textId="77777777" w:rsidR="004C0F8E" w:rsidRPr="00852AD1" w:rsidRDefault="004C0F8E" w:rsidP="009D5DAB">
            <w:r w:rsidRPr="00852AD1">
              <w:t>Texas</w:t>
            </w:r>
          </w:p>
        </w:tc>
        <w:tc>
          <w:tcPr>
            <w:tcW w:w="2330" w:type="dxa"/>
          </w:tcPr>
          <w:p w14:paraId="61E429E5" w14:textId="77777777" w:rsidR="004C0F8E" w:rsidRPr="00852AD1" w:rsidRDefault="004C0F8E" w:rsidP="009D5DAB">
            <w:pPr>
              <w:jc w:val="center"/>
            </w:pPr>
            <w:r w:rsidRPr="00852AD1">
              <w:t>Yes</w:t>
            </w:r>
          </w:p>
        </w:tc>
        <w:tc>
          <w:tcPr>
            <w:tcW w:w="2408" w:type="dxa"/>
          </w:tcPr>
          <w:p w14:paraId="09281A00" w14:textId="4CF6C7AA" w:rsidR="004C0F8E" w:rsidRPr="00852AD1" w:rsidRDefault="004C0F8E" w:rsidP="009D5DAB">
            <w:pPr>
              <w:jc w:val="center"/>
            </w:pPr>
            <w:r w:rsidRPr="00852AD1">
              <w:t>No</w:t>
            </w:r>
          </w:p>
        </w:tc>
        <w:tc>
          <w:tcPr>
            <w:tcW w:w="2250" w:type="dxa"/>
          </w:tcPr>
          <w:p w14:paraId="627A2360" w14:textId="77777777" w:rsidR="004C0F8E" w:rsidRPr="00852AD1" w:rsidRDefault="004C0F8E" w:rsidP="009D5DAB">
            <w:pPr>
              <w:jc w:val="center"/>
            </w:pPr>
            <w:r w:rsidRPr="00852AD1">
              <w:t>1999</w:t>
            </w:r>
          </w:p>
        </w:tc>
      </w:tr>
      <w:tr w:rsidR="004C0F8E" w:rsidRPr="00852AD1" w14:paraId="00C78904" w14:textId="77777777" w:rsidTr="004C0F8E">
        <w:tc>
          <w:tcPr>
            <w:tcW w:w="2342" w:type="dxa"/>
          </w:tcPr>
          <w:p w14:paraId="1DB976BA" w14:textId="77777777" w:rsidR="004C0F8E" w:rsidRPr="00852AD1" w:rsidRDefault="004C0F8E" w:rsidP="009D5DAB">
            <w:r w:rsidRPr="00852AD1">
              <w:t>Vermont</w:t>
            </w:r>
          </w:p>
        </w:tc>
        <w:tc>
          <w:tcPr>
            <w:tcW w:w="2330" w:type="dxa"/>
          </w:tcPr>
          <w:p w14:paraId="6F0C814E" w14:textId="77777777" w:rsidR="004C0F8E" w:rsidRPr="00852AD1" w:rsidRDefault="004C0F8E" w:rsidP="009D5DAB">
            <w:pPr>
              <w:jc w:val="center"/>
            </w:pPr>
            <w:r w:rsidRPr="00852AD1">
              <w:t>Yes</w:t>
            </w:r>
          </w:p>
        </w:tc>
        <w:tc>
          <w:tcPr>
            <w:tcW w:w="2408" w:type="dxa"/>
          </w:tcPr>
          <w:p w14:paraId="4DC985F8" w14:textId="64EA4567" w:rsidR="004C0F8E" w:rsidRPr="00852AD1" w:rsidRDefault="004C0F8E" w:rsidP="009D5DAB">
            <w:pPr>
              <w:jc w:val="center"/>
            </w:pPr>
            <w:r w:rsidRPr="00852AD1">
              <w:t>No</w:t>
            </w:r>
          </w:p>
        </w:tc>
        <w:tc>
          <w:tcPr>
            <w:tcW w:w="2250" w:type="dxa"/>
          </w:tcPr>
          <w:p w14:paraId="47256604" w14:textId="77777777" w:rsidR="004C0F8E" w:rsidRPr="00852AD1" w:rsidRDefault="004C0F8E" w:rsidP="009D5DAB">
            <w:pPr>
              <w:jc w:val="center"/>
            </w:pPr>
            <w:r w:rsidRPr="00852AD1">
              <w:t>2003</w:t>
            </w:r>
          </w:p>
        </w:tc>
      </w:tr>
      <w:tr w:rsidR="004C0F8E" w:rsidRPr="00852AD1" w14:paraId="41E708B2" w14:textId="77777777" w:rsidTr="004C0F8E">
        <w:tc>
          <w:tcPr>
            <w:tcW w:w="2342" w:type="dxa"/>
          </w:tcPr>
          <w:p w14:paraId="01DFFE9A" w14:textId="77777777" w:rsidR="004C0F8E" w:rsidRPr="00852AD1" w:rsidRDefault="004C0F8E" w:rsidP="009D5DAB">
            <w:r w:rsidRPr="00852AD1">
              <w:t>Washington</w:t>
            </w:r>
          </w:p>
        </w:tc>
        <w:tc>
          <w:tcPr>
            <w:tcW w:w="2330" w:type="dxa"/>
          </w:tcPr>
          <w:p w14:paraId="09370A81" w14:textId="0A755E15" w:rsidR="004C0F8E" w:rsidRPr="00852AD1" w:rsidRDefault="004C0F8E" w:rsidP="009D5DAB">
            <w:pPr>
              <w:jc w:val="center"/>
            </w:pPr>
            <w:r w:rsidRPr="00852AD1">
              <w:t>No</w:t>
            </w:r>
          </w:p>
        </w:tc>
        <w:tc>
          <w:tcPr>
            <w:tcW w:w="2408" w:type="dxa"/>
          </w:tcPr>
          <w:p w14:paraId="1F9AAA74" w14:textId="77777777" w:rsidR="004C0F8E" w:rsidRPr="00852AD1" w:rsidRDefault="004C0F8E" w:rsidP="009D5DAB">
            <w:pPr>
              <w:jc w:val="center"/>
            </w:pPr>
            <w:r w:rsidRPr="00852AD1">
              <w:t>Yes</w:t>
            </w:r>
          </w:p>
        </w:tc>
        <w:tc>
          <w:tcPr>
            <w:tcW w:w="2250" w:type="dxa"/>
          </w:tcPr>
          <w:p w14:paraId="0B89D618" w14:textId="77777777" w:rsidR="004C0F8E" w:rsidRPr="00852AD1" w:rsidRDefault="004C0F8E" w:rsidP="009D5DAB">
            <w:pPr>
              <w:jc w:val="center"/>
            </w:pPr>
            <w:r w:rsidRPr="00852AD1">
              <w:t>2003</w:t>
            </w:r>
          </w:p>
        </w:tc>
      </w:tr>
      <w:tr w:rsidR="004C0F8E" w:rsidRPr="00852AD1" w14:paraId="03BBE32B" w14:textId="77777777" w:rsidTr="004C0F8E">
        <w:tc>
          <w:tcPr>
            <w:tcW w:w="2342" w:type="dxa"/>
          </w:tcPr>
          <w:p w14:paraId="5745746C" w14:textId="77777777" w:rsidR="004C0F8E" w:rsidRPr="00852AD1" w:rsidRDefault="004C0F8E" w:rsidP="009D5DAB">
            <w:r w:rsidRPr="00852AD1">
              <w:t>Wisconsin</w:t>
            </w:r>
          </w:p>
        </w:tc>
        <w:tc>
          <w:tcPr>
            <w:tcW w:w="2330" w:type="dxa"/>
          </w:tcPr>
          <w:p w14:paraId="1E903252" w14:textId="77777777" w:rsidR="004C0F8E" w:rsidRPr="00852AD1" w:rsidRDefault="004C0F8E" w:rsidP="009D5DAB">
            <w:pPr>
              <w:jc w:val="center"/>
            </w:pPr>
            <w:r w:rsidRPr="00852AD1">
              <w:t>Yes</w:t>
            </w:r>
          </w:p>
        </w:tc>
        <w:tc>
          <w:tcPr>
            <w:tcW w:w="2408" w:type="dxa"/>
          </w:tcPr>
          <w:p w14:paraId="1CE73A86" w14:textId="77777777" w:rsidR="004C0F8E" w:rsidRPr="00852AD1" w:rsidRDefault="004C0F8E" w:rsidP="009D5DAB">
            <w:pPr>
              <w:jc w:val="center"/>
            </w:pPr>
            <w:r w:rsidRPr="00852AD1">
              <w:t>Yes</w:t>
            </w:r>
          </w:p>
        </w:tc>
        <w:tc>
          <w:tcPr>
            <w:tcW w:w="2250" w:type="dxa"/>
          </w:tcPr>
          <w:p w14:paraId="6DBCEC23" w14:textId="77777777" w:rsidR="004C0F8E" w:rsidRPr="00852AD1" w:rsidRDefault="004C0F8E" w:rsidP="009D5DAB">
            <w:pPr>
              <w:jc w:val="center"/>
            </w:pPr>
            <w:r w:rsidRPr="00852AD1">
              <w:t>2005 (“Opt-out”), 2012 (AA)</w:t>
            </w:r>
          </w:p>
        </w:tc>
      </w:tr>
      <w:tr w:rsidR="004C0F8E" w:rsidRPr="00852AD1" w14:paraId="60225326" w14:textId="77777777" w:rsidTr="00621098">
        <w:tc>
          <w:tcPr>
            <w:tcW w:w="9330" w:type="dxa"/>
            <w:gridSpan w:val="4"/>
          </w:tcPr>
          <w:p w14:paraId="3F73FF9F" w14:textId="1C558593" w:rsidR="004C0F8E" w:rsidRPr="00852AD1" w:rsidRDefault="004C0F8E" w:rsidP="004C0F8E">
            <w:r w:rsidRPr="00852AD1">
              <w:rPr>
                <w:b/>
              </w:rPr>
              <w:t xml:space="preserve">Table A.1 </w:t>
            </w:r>
            <w:r w:rsidRPr="00852AD1">
              <w:t xml:space="preserve">lists all states (and the District of Columbia) that have enacted legislation allowing for anesthesiologist assistant practice (“AA”) and/or that have chosen to “opt out” of federal regulation requiring physician supervision of nurse anesthetists.  States not listed in the table have not chosen to “opt-out” of </w:t>
            </w:r>
            <w:proofErr w:type="gramStart"/>
            <w:r w:rsidRPr="00852AD1">
              <w:t>these federal regulation</w:t>
            </w:r>
            <w:proofErr w:type="gramEnd"/>
            <w:r w:rsidRPr="00852AD1">
              <w:t xml:space="preserve"> </w:t>
            </w:r>
            <w:r w:rsidRPr="00852AD1">
              <w:rPr>
                <w:i/>
              </w:rPr>
              <w:t>and</w:t>
            </w:r>
            <w:r w:rsidRPr="00852AD1">
              <w:t xml:space="preserve"> have not enacted legislation allowing for anesthesiologist assistant practice.</w:t>
            </w:r>
          </w:p>
        </w:tc>
      </w:tr>
    </w:tbl>
    <w:p w14:paraId="5A06A430" w14:textId="77777777" w:rsidR="004C0F8E" w:rsidRPr="00852AD1" w:rsidRDefault="004C0F8E" w:rsidP="004C0F8E">
      <w:pPr>
        <w:rPr>
          <w:sz w:val="22"/>
        </w:rPr>
      </w:pPr>
    </w:p>
    <w:p w14:paraId="2D7865E9" w14:textId="77777777" w:rsidR="004C0F8E" w:rsidRPr="00852AD1" w:rsidRDefault="004C0F8E">
      <w:pPr>
        <w:rPr>
          <w:i/>
          <w:color w:val="000000" w:themeColor="text1"/>
          <w:sz w:val="22"/>
          <w:szCs w:val="22"/>
        </w:rPr>
      </w:pPr>
      <w:r w:rsidRPr="00852AD1">
        <w:rPr>
          <w:i/>
          <w:color w:val="000000" w:themeColor="text1"/>
          <w:sz w:val="22"/>
          <w:szCs w:val="22"/>
        </w:rPr>
        <w:br w:type="page"/>
      </w:r>
    </w:p>
    <w:p w14:paraId="5B4A3D82" w14:textId="2D04D552" w:rsidR="003F0188" w:rsidRPr="00852AD1" w:rsidRDefault="003F0188" w:rsidP="00FF3B15">
      <w:pPr>
        <w:spacing w:line="480" w:lineRule="auto"/>
        <w:outlineLvl w:val="0"/>
        <w:rPr>
          <w:i/>
          <w:color w:val="000000" w:themeColor="text1"/>
          <w:sz w:val="22"/>
          <w:szCs w:val="22"/>
        </w:rPr>
      </w:pPr>
      <w:r w:rsidRPr="00852AD1">
        <w:rPr>
          <w:i/>
          <w:color w:val="000000" w:themeColor="text1"/>
          <w:sz w:val="22"/>
          <w:szCs w:val="22"/>
        </w:rPr>
        <w:lastRenderedPageBreak/>
        <w:t>Data Appendix</w:t>
      </w:r>
    </w:p>
    <w:p w14:paraId="60A75FC7" w14:textId="2F68BBB8" w:rsidR="003F0188" w:rsidRPr="00852AD1" w:rsidRDefault="003F0188" w:rsidP="003F0188">
      <w:pPr>
        <w:spacing w:line="480" w:lineRule="auto"/>
        <w:rPr>
          <w:color w:val="000000" w:themeColor="text1"/>
          <w:sz w:val="22"/>
          <w:szCs w:val="22"/>
        </w:rPr>
      </w:pPr>
      <w:r w:rsidRPr="00852AD1">
        <w:rPr>
          <w:rFonts w:cs="Arial"/>
          <w:color w:val="000000" w:themeColor="text1"/>
          <w:sz w:val="22"/>
          <w:szCs w:val="22"/>
        </w:rPr>
        <w:t>The Medicare data are detailed and structured in a specific manner.  The inpatient file contains claims submitted by the institution (e.g., the hospital) providing care for inpatients.  The file contains data such as admission and discharge dates, demographic information (e.g., age, race, zip code) and diagnosis codes (International Classification of Disease, 9</w:t>
      </w:r>
      <w:r w:rsidRPr="00852AD1">
        <w:rPr>
          <w:rFonts w:cs="Arial"/>
          <w:color w:val="000000" w:themeColor="text1"/>
          <w:sz w:val="22"/>
          <w:szCs w:val="22"/>
          <w:vertAlign w:val="superscript"/>
        </w:rPr>
        <w:t>th</w:t>
      </w:r>
      <w:r w:rsidRPr="00852AD1">
        <w:rPr>
          <w:rFonts w:cs="Arial"/>
          <w:color w:val="000000" w:themeColor="text1"/>
          <w:sz w:val="22"/>
          <w:szCs w:val="22"/>
        </w:rPr>
        <w:t xml:space="preserve"> edition; ICD), which can be used to draw inferences about a patient’s comorbidities as well as events (e.g., pulmonary embolism or myocardial infarction) that occurred during the stay.  In addition, the inpatient file also contains procedure codes (ICD) describing the procedures performed during the admission, as well as the Diagnosis Related Group (DRG) billed by the facility.  </w:t>
      </w:r>
      <w:r w:rsidRPr="00852AD1">
        <w:rPr>
          <w:color w:val="000000" w:themeColor="text1"/>
          <w:sz w:val="22"/>
          <w:szCs w:val="22"/>
        </w:rPr>
        <w:t>DRGs are collections of ICD diagnosis codes developed by CMS to facilitate payments to hospitals; CMS classifies DRGs as being “medical” or “surgical” in nature.</w:t>
      </w:r>
      <w:r w:rsidRPr="00852AD1">
        <w:rPr>
          <w:color w:val="000000" w:themeColor="text1"/>
          <w:sz w:val="22"/>
          <w:szCs w:val="22"/>
        </w:rPr>
        <w:fldChar w:fldCharType="begin"/>
      </w:r>
      <w:r w:rsidR="004971D7" w:rsidRPr="00852AD1">
        <w:rPr>
          <w:color w:val="000000" w:themeColor="text1"/>
          <w:sz w:val="22"/>
          <w:szCs w:val="22"/>
        </w:rPr>
        <w:instrText xml:space="preserve"> ADDIN EN.CITE &lt;EndNote&gt;&lt;Cite&gt;&lt;RecNum&gt;434&lt;/RecNum&gt;&lt;DisplayText&gt;&lt;style face="superscript"&gt;1&lt;/style&gt;&lt;/DisplayText&gt;&lt;record&gt;&lt;rec-number&gt;434&lt;/rec-number&gt;&lt;foreign-keys&gt;&lt;key app="EN" db-id="9zs2wfp0csdv0me90er5wp0kwprdsrzz29v0" timestamp="1484180193"&gt;434&lt;/key&gt;&lt;/foreign-keys&gt;&lt;ref-type name="Web Page"&gt;12&lt;/ref-type&gt;&lt;contributors&gt;&lt;/contributors&gt;&lt;titles&gt;&lt;title&gt;Patient Safety Indicators Overview&lt;/title&gt;&lt;/titles&gt;&lt;number&gt;May 15, 2017&lt;/number&gt;&lt;dates&gt;&lt;/dates&gt;&lt;urls&gt;&lt;related-urls&gt;&lt;url&gt;https://www.qualityindicators.ahrq.gov/Modules/psi_resources.aspx&lt;/url&gt;&lt;/related-urls&gt;&lt;/urls&gt;&lt;/record&gt;&lt;/Cite&gt;&lt;/EndNote&gt;</w:instrText>
      </w:r>
      <w:r w:rsidRPr="00852AD1">
        <w:rPr>
          <w:color w:val="000000" w:themeColor="text1"/>
          <w:sz w:val="22"/>
          <w:szCs w:val="22"/>
        </w:rPr>
        <w:fldChar w:fldCharType="separate"/>
      </w:r>
      <w:r w:rsidR="004971D7" w:rsidRPr="00852AD1">
        <w:rPr>
          <w:noProof/>
          <w:color w:val="000000" w:themeColor="text1"/>
          <w:sz w:val="22"/>
          <w:szCs w:val="22"/>
          <w:vertAlign w:val="superscript"/>
        </w:rPr>
        <w:t>1</w:t>
      </w:r>
      <w:r w:rsidRPr="00852AD1">
        <w:rPr>
          <w:color w:val="000000" w:themeColor="text1"/>
          <w:sz w:val="22"/>
          <w:szCs w:val="22"/>
        </w:rPr>
        <w:fldChar w:fldCharType="end"/>
      </w:r>
      <w:r w:rsidRPr="00852AD1">
        <w:rPr>
          <w:color w:val="000000" w:themeColor="text1"/>
          <w:sz w:val="22"/>
          <w:szCs w:val="22"/>
        </w:rPr>
        <w:t xml:space="preserve">  Finally, the inpatient file contains data on the patient’s status at discharge—for example, noting whether the patient was transferred to another facility, died, or was discharged home.</w:t>
      </w:r>
    </w:p>
    <w:p w14:paraId="10123C9F" w14:textId="7772F0E2" w:rsidR="003F0188" w:rsidRPr="00852AD1" w:rsidRDefault="003F0188" w:rsidP="003F0188">
      <w:pPr>
        <w:spacing w:line="480" w:lineRule="auto"/>
        <w:rPr>
          <w:rFonts w:cs="Arial"/>
          <w:color w:val="000000" w:themeColor="text1"/>
          <w:sz w:val="22"/>
          <w:szCs w:val="22"/>
        </w:rPr>
      </w:pPr>
      <w:r w:rsidRPr="00852AD1">
        <w:rPr>
          <w:color w:val="000000" w:themeColor="text1"/>
          <w:sz w:val="22"/>
          <w:szCs w:val="22"/>
        </w:rPr>
        <w:tab/>
        <w:t>The carrier file contains claims submitted by healthcare providers (e.g., physicians) when they provide care for patients.  Data from the carrier file include the date the service was performed and the Current Procedural Terminology code billed by the healthcare provider, which can be used to identify the procedure/service provided.</w:t>
      </w:r>
      <w:r w:rsidRPr="00852AD1">
        <w:rPr>
          <w:rStyle w:val="FootnoteReference"/>
          <w:color w:val="000000" w:themeColor="text1"/>
          <w:sz w:val="22"/>
          <w:szCs w:val="22"/>
        </w:rPr>
        <w:footnoteReference w:id="1"/>
      </w:r>
      <w:r w:rsidRPr="00852AD1">
        <w:rPr>
          <w:color w:val="000000" w:themeColor="text1"/>
          <w:sz w:val="22"/>
          <w:szCs w:val="22"/>
        </w:rPr>
        <w:t xml:space="preserve">  The carrier file also contains data about the healthcare provider, such as the self-reported specialty (anesthesia providers can report anesthesiologist (MD), nurse anesthetist, or anesthesiologist assistant), as well as the provider’s taxpayer identification number (TIN).  The latter can be used to identify the healthcare provider’s group practice.</w:t>
      </w:r>
      <w:r w:rsidRPr="00852AD1">
        <w:rPr>
          <w:color w:val="000000" w:themeColor="text1"/>
          <w:sz w:val="22"/>
          <w:szCs w:val="22"/>
        </w:rPr>
        <w:fldChar w:fldCharType="begin">
          <w:fldData xml:space="preserve">PEVuZE5vdGU+PENpdGU+PEF1dGhvcj5TdW48L0F1dGhvcj48WWVhcj4yMDE1PC9ZZWFyPjxSZWNO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</w:fldData>
        </w:fldChar>
      </w:r>
      <w:r w:rsidR="004971D7" w:rsidRPr="00852AD1">
        <w:rPr>
          <w:color w:val="000000" w:themeColor="text1"/>
          <w:sz w:val="22"/>
          <w:szCs w:val="22"/>
        </w:rPr>
        <w:instrText xml:space="preserve"> ADDIN EN.CITE </w:instrText>
      </w:r>
      <w:r w:rsidR="004971D7" w:rsidRPr="00852AD1">
        <w:rPr>
          <w:color w:val="000000" w:themeColor="text1"/>
          <w:sz w:val="22"/>
          <w:szCs w:val="22"/>
        </w:rPr>
        <w:fldChar w:fldCharType="begin">
          <w:fldData xml:space="preserve">PEVuZE5vdGU+PENpdGU+PEF1dGhvcj5TdW48L0F1dGhvcj48WWVhcj4yMDE1PC9ZZWFyPjxSZWNO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</w:fldData>
        </w:fldChar>
      </w:r>
      <w:r w:rsidR="004971D7" w:rsidRPr="00852AD1">
        <w:rPr>
          <w:color w:val="000000" w:themeColor="text1"/>
          <w:sz w:val="22"/>
          <w:szCs w:val="22"/>
        </w:rPr>
        <w:instrText xml:space="preserve"> ADDIN EN.CITE.DATA </w:instrText>
      </w:r>
      <w:r w:rsidR="004971D7" w:rsidRPr="00852AD1">
        <w:rPr>
          <w:color w:val="000000" w:themeColor="text1"/>
          <w:sz w:val="22"/>
          <w:szCs w:val="22"/>
        </w:rPr>
      </w:r>
      <w:r w:rsidR="004971D7" w:rsidRPr="00852AD1">
        <w:rPr>
          <w:color w:val="000000" w:themeColor="text1"/>
          <w:sz w:val="22"/>
          <w:szCs w:val="22"/>
        </w:rPr>
        <w:fldChar w:fldCharType="end"/>
      </w:r>
      <w:r w:rsidRPr="00852AD1">
        <w:rPr>
          <w:color w:val="000000" w:themeColor="text1"/>
          <w:sz w:val="22"/>
          <w:szCs w:val="22"/>
        </w:rPr>
      </w:r>
      <w:r w:rsidRPr="00852AD1">
        <w:rPr>
          <w:color w:val="000000" w:themeColor="text1"/>
          <w:sz w:val="22"/>
          <w:szCs w:val="22"/>
        </w:rPr>
        <w:fldChar w:fldCharType="separate"/>
      </w:r>
      <w:r w:rsidR="004971D7" w:rsidRPr="00852AD1">
        <w:rPr>
          <w:noProof/>
          <w:color w:val="000000" w:themeColor="text1"/>
          <w:sz w:val="22"/>
          <w:szCs w:val="22"/>
          <w:vertAlign w:val="superscript"/>
        </w:rPr>
        <w:t>2-4</w:t>
      </w:r>
      <w:r w:rsidRPr="00852AD1">
        <w:rPr>
          <w:color w:val="000000" w:themeColor="text1"/>
          <w:sz w:val="22"/>
          <w:szCs w:val="22"/>
        </w:rPr>
        <w:fldChar w:fldCharType="end"/>
      </w:r>
    </w:p>
    <w:p w14:paraId="26AC65BF" w14:textId="77777777" w:rsidR="003F0188" w:rsidRPr="00852AD1" w:rsidRDefault="003F0188" w:rsidP="003F0188">
      <w:pPr>
        <w:spacing w:line="480" w:lineRule="auto"/>
        <w:rPr>
          <w:rFonts w:cs="Arial"/>
          <w:color w:val="000000" w:themeColor="text1"/>
          <w:sz w:val="22"/>
          <w:szCs w:val="22"/>
        </w:rPr>
      </w:pPr>
      <w:r w:rsidRPr="00852AD1">
        <w:rPr>
          <w:rFonts w:cs="Arial"/>
          <w:color w:val="000000" w:themeColor="text1"/>
          <w:sz w:val="22"/>
          <w:szCs w:val="22"/>
        </w:rPr>
        <w:tab/>
        <w:t>Therefore, a patient admitted for inpatient surgery will have several claims in the Medicare data: at least one claim in the inpatient file from the hospital where the surgery was performed, as well as several claims in the carrier file from the healthcare providers who provided services for the patient—</w:t>
      </w:r>
      <w:r w:rsidRPr="00852AD1">
        <w:rPr>
          <w:rFonts w:cs="Arial"/>
          <w:color w:val="000000" w:themeColor="text1"/>
          <w:sz w:val="22"/>
          <w:szCs w:val="22"/>
        </w:rPr>
        <w:lastRenderedPageBreak/>
        <w:t xml:space="preserve">for example, claims submitted by the surgeon and the anesthesia provider.  There are no explicit mechanisms to link the claims submitted by healthcare providers to the claim submitted by the institution; typically, researchers link claims from the healthcare providers to a given hospital claim using the dates of service reported on the healthcare providers’ claims and the admission and discharge dates, or procedure dates, listed on the institutional claim. </w:t>
      </w:r>
    </w:p>
    <w:p w14:paraId="1B02B78A" w14:textId="4A2685DC" w:rsidR="00FF3B15" w:rsidRPr="00852AD1" w:rsidRDefault="00FF3B15" w:rsidP="00FF3B15">
      <w:pPr>
        <w:spacing w:line="480" w:lineRule="auto"/>
        <w:outlineLvl w:val="0"/>
        <w:rPr>
          <w:i/>
          <w:color w:val="000000" w:themeColor="text1"/>
          <w:sz w:val="22"/>
          <w:szCs w:val="22"/>
        </w:rPr>
      </w:pPr>
      <w:r w:rsidRPr="00852AD1">
        <w:rPr>
          <w:i/>
          <w:color w:val="000000" w:themeColor="text1"/>
          <w:sz w:val="22"/>
          <w:szCs w:val="22"/>
        </w:rPr>
        <w:t>Technical Appendix</w:t>
      </w:r>
    </w:p>
    <w:p w14:paraId="5247E154" w14:textId="77777777" w:rsidR="00FF3B15" w:rsidRPr="00852AD1" w:rsidRDefault="00FF3B15" w:rsidP="00FF3B15">
      <w:pPr>
        <w:spacing w:line="480" w:lineRule="auto"/>
        <w:rPr>
          <w:color w:val="000000" w:themeColor="text1"/>
          <w:sz w:val="22"/>
          <w:szCs w:val="22"/>
        </w:rPr>
      </w:pPr>
      <w:r w:rsidRPr="00852AD1">
        <w:rPr>
          <w:color w:val="000000" w:themeColor="text1"/>
          <w:sz w:val="22"/>
          <w:szCs w:val="22"/>
        </w:rPr>
        <w:tab/>
        <w:t>Our baseline analysis involved an instrumental variables approach that we implemented using a two stage least squares regression.  As a first step, we estimated the following multivariable linear regression:</w:t>
      </w:r>
    </w:p>
    <w:p w14:paraId="2A9C3633" w14:textId="77777777" w:rsidR="00FF3B15" w:rsidRPr="00852AD1" w:rsidRDefault="00961FEE" w:rsidP="00FF3B15">
      <w:pPr>
        <w:spacing w:line="480" w:lineRule="auto"/>
        <w:jc w:val="center"/>
        <w:rPr>
          <w:rFonts w:eastAsiaTheme="minorEastAsia"/>
          <w:color w:val="000000" w:themeColor="text1"/>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caa</m:t>
            </m:r>
          </m:e>
          <m:sub>
            <m:r>
              <w:rPr>
                <w:rFonts w:ascii="Cambria Math" w:hAnsi="Cambria Math"/>
                <w:color w:val="000000" w:themeColor="text1"/>
                <w:sz w:val="22"/>
                <w:szCs w:val="22"/>
              </w:rPr>
              <m:t>ijkt</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time</m:t>
            </m:r>
          </m:e>
          <m:sub>
            <m:r>
              <w:rPr>
                <w:rFonts w:ascii="Cambria Math" w:hAnsi="Cambria Math"/>
                <w:color w:val="000000" w:themeColor="text1"/>
                <w:sz w:val="22"/>
                <w:szCs w:val="22"/>
              </w:rPr>
              <m:t>t</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α</m:t>
            </m:r>
          </m:e>
          <m:sub>
            <m:r>
              <w:rPr>
                <w:rFonts w:ascii="Cambria Math" w:hAnsi="Cambria Math"/>
                <w:color w:val="000000" w:themeColor="text1"/>
                <w:sz w:val="22"/>
                <w:szCs w:val="22"/>
              </w:rPr>
              <m:t>j</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θ</m:t>
            </m:r>
          </m:e>
          <m:sub>
            <m:r>
              <w:rPr>
                <w:rFonts w:ascii="Cambria Math" w:hAnsi="Cambria Math"/>
                <w:color w:val="000000" w:themeColor="text1"/>
                <w:sz w:val="22"/>
                <w:szCs w:val="22"/>
              </w:rPr>
              <m:t>k</m:t>
            </m:r>
          </m:sub>
        </m:sSub>
        <m:r>
          <w:rPr>
            <w:rFonts w:ascii="Cambria Math" w:hAnsi="Cambria Math"/>
            <w:color w:val="000000" w:themeColor="text1"/>
            <w:sz w:val="22"/>
            <w:szCs w:val="22"/>
          </w:rPr>
          <m:t>+</m:t>
        </m:r>
        <m:r>
          <w:rPr>
            <w:rFonts w:ascii="Cambria Math" w:hAnsi="Cambria Math"/>
            <w:i/>
            <w:color w:val="000000" w:themeColor="text1"/>
            <w:sz w:val="22"/>
            <w:szCs w:val="22"/>
          </w:rPr>
          <w:sym w:font="Symbol" w:char="F047"/>
        </m:r>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X</m:t>
            </m:r>
          </m:e>
          <m:sub>
            <m:r>
              <w:rPr>
                <w:rFonts w:ascii="Cambria Math" w:eastAsiaTheme="minorEastAsia" w:hAnsi="Cambria Math"/>
                <w:color w:val="000000" w:themeColor="text1"/>
                <w:sz w:val="22"/>
                <w:szCs w:val="22"/>
              </w:rPr>
              <m:t>i</m:t>
            </m:r>
          </m:sub>
        </m:sSub>
        <m:r>
          <w:rPr>
            <w:rFonts w:ascii="Cambria Math" w:eastAsiaTheme="minorEastAsia" w:hAnsi="Cambria Math"/>
            <w:color w:val="000000" w:themeColor="text1"/>
            <w:sz w:val="22"/>
            <w:szCs w:val="22"/>
          </w:rPr>
          <m:t>+τ</m:t>
        </m:r>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share</m:t>
            </m:r>
          </m:e>
          <m:sub>
            <m:r>
              <w:rPr>
                <w:rFonts w:ascii="Cambria Math" w:eastAsiaTheme="minorEastAsia" w:hAnsi="Cambria Math"/>
                <w:color w:val="000000" w:themeColor="text1"/>
                <w:sz w:val="22"/>
                <w:szCs w:val="22"/>
              </w:rPr>
              <m:t>it</m:t>
            </m:r>
          </m:sub>
        </m:sSub>
        <m:r>
          <w:rPr>
            <w:rFonts w:ascii="Cambria Math" w:eastAsiaTheme="minorEastAsia" w:hAnsi="Cambria Math"/>
            <w:color w:val="000000" w:themeColor="text1"/>
            <w:sz w:val="22"/>
            <w:szCs w:val="22"/>
          </w:rPr>
          <m:t>+</m:t>
        </m:r>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ε</m:t>
            </m:r>
          </m:e>
          <m:sub>
            <m:r>
              <w:rPr>
                <w:rFonts w:ascii="Cambria Math" w:eastAsiaTheme="minorEastAsia" w:hAnsi="Cambria Math"/>
                <w:color w:val="000000" w:themeColor="text1"/>
                <w:sz w:val="22"/>
                <w:szCs w:val="22"/>
              </w:rPr>
              <m:t>ijkt</m:t>
            </m:r>
          </m:sub>
        </m:sSub>
      </m:oMath>
      <w:r w:rsidR="00FF3B15" w:rsidRPr="00852AD1">
        <w:rPr>
          <w:rFonts w:eastAsiaTheme="minorEastAsia"/>
          <w:color w:val="000000" w:themeColor="text1"/>
          <w:sz w:val="22"/>
          <w:szCs w:val="22"/>
        </w:rPr>
        <w:t xml:space="preserve">   (1)</w:t>
      </w:r>
    </w:p>
    <w:p w14:paraId="45D7FE78" w14:textId="7264EE45" w:rsidR="00FF3B15" w:rsidRPr="00852AD1" w:rsidRDefault="00FF3B15" w:rsidP="00FF3B15">
      <w:pPr>
        <w:spacing w:line="480" w:lineRule="auto"/>
        <w:rPr>
          <w:rFonts w:eastAsiaTheme="minorEastAsia"/>
          <w:color w:val="000000" w:themeColor="text1"/>
          <w:sz w:val="22"/>
          <w:szCs w:val="22"/>
        </w:rPr>
      </w:pPr>
      <w:r w:rsidRPr="00852AD1">
        <w:rPr>
          <w:color w:val="000000" w:themeColor="text1"/>
          <w:sz w:val="22"/>
          <w:szCs w:val="22"/>
        </w:rPr>
        <w:t xml:space="preserve">In equation (1), </w:t>
      </w:r>
      <w:proofErr w:type="spellStart"/>
      <w:r w:rsidRPr="00852AD1">
        <w:rPr>
          <w:i/>
          <w:color w:val="000000" w:themeColor="text1"/>
          <w:sz w:val="22"/>
          <w:szCs w:val="22"/>
        </w:rPr>
        <w:t>i</w:t>
      </w:r>
      <w:proofErr w:type="spellEnd"/>
      <w:r w:rsidRPr="00852AD1">
        <w:rPr>
          <w:i/>
          <w:color w:val="000000" w:themeColor="text1"/>
          <w:sz w:val="22"/>
          <w:szCs w:val="22"/>
        </w:rPr>
        <w:t xml:space="preserve"> </w:t>
      </w:r>
      <w:r w:rsidRPr="00852AD1">
        <w:rPr>
          <w:color w:val="000000" w:themeColor="text1"/>
          <w:sz w:val="22"/>
          <w:szCs w:val="22"/>
        </w:rPr>
        <w:t xml:space="preserve">indexes the given patient, </w:t>
      </w:r>
      <w:r w:rsidRPr="00852AD1">
        <w:rPr>
          <w:i/>
          <w:color w:val="000000" w:themeColor="text1"/>
          <w:sz w:val="22"/>
          <w:szCs w:val="22"/>
        </w:rPr>
        <w:t>j</w:t>
      </w:r>
      <w:r w:rsidRPr="00852AD1">
        <w:rPr>
          <w:color w:val="000000" w:themeColor="text1"/>
          <w:sz w:val="22"/>
          <w:szCs w:val="22"/>
        </w:rPr>
        <w:t xml:space="preserve"> indexes the diagnosis related group, </w:t>
      </w:r>
      <w:r w:rsidRPr="00852AD1">
        <w:rPr>
          <w:i/>
          <w:color w:val="000000" w:themeColor="text1"/>
          <w:sz w:val="22"/>
          <w:szCs w:val="22"/>
        </w:rPr>
        <w:t>k</w:t>
      </w:r>
      <w:r w:rsidRPr="00852AD1">
        <w:rPr>
          <w:color w:val="000000" w:themeColor="text1"/>
          <w:sz w:val="22"/>
          <w:szCs w:val="22"/>
        </w:rPr>
        <w:t xml:space="preserve"> indexes the hospital, and </w:t>
      </w:r>
      <w:r w:rsidRPr="00852AD1">
        <w:rPr>
          <w:i/>
          <w:color w:val="000000" w:themeColor="text1"/>
          <w:sz w:val="22"/>
          <w:szCs w:val="22"/>
        </w:rPr>
        <w:t xml:space="preserve">t </w:t>
      </w:r>
      <w:r w:rsidRPr="00852AD1">
        <w:rPr>
          <w:color w:val="000000" w:themeColor="text1"/>
          <w:sz w:val="22"/>
          <w:szCs w:val="22"/>
        </w:rPr>
        <w:t xml:space="preserve">indexes the year of surgery.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time</m:t>
            </m:r>
          </m:e>
          <m:sub>
            <m:r>
              <w:rPr>
                <w:rFonts w:ascii="Cambria Math" w:hAnsi="Cambria Math"/>
                <w:color w:val="000000" w:themeColor="text1"/>
                <w:sz w:val="22"/>
                <w:szCs w:val="22"/>
              </w:rPr>
              <m:t>t</m:t>
            </m:r>
          </m:sub>
        </m:sSub>
      </m:oMath>
      <w:r w:rsidRPr="00852AD1">
        <w:rPr>
          <w:rFonts w:eastAsiaTheme="minorEastAsia"/>
          <w:color w:val="000000" w:themeColor="text1"/>
          <w:sz w:val="22"/>
          <w:szCs w:val="22"/>
        </w:rPr>
        <w:t xml:space="preserve"> is a vector of year effects,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α</m:t>
            </m:r>
          </m:e>
          <m:sub>
            <m:r>
              <w:rPr>
                <w:rFonts w:ascii="Cambria Math" w:hAnsi="Cambria Math"/>
                <w:color w:val="000000" w:themeColor="text1"/>
                <w:sz w:val="22"/>
                <w:szCs w:val="22"/>
              </w:rPr>
              <m:t>j</m:t>
            </m:r>
          </m:sub>
        </m:sSub>
      </m:oMath>
      <w:r w:rsidRPr="00852AD1">
        <w:rPr>
          <w:rFonts w:eastAsiaTheme="minorEastAsia"/>
          <w:color w:val="000000" w:themeColor="text1"/>
          <w:sz w:val="22"/>
          <w:szCs w:val="22"/>
        </w:rPr>
        <w:t xml:space="preserve"> is a vector of diagnosis related group fixed effects,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θ</m:t>
            </m:r>
          </m:e>
          <m:sub>
            <m:r>
              <w:rPr>
                <w:rFonts w:ascii="Cambria Math" w:hAnsi="Cambria Math"/>
                <w:color w:val="000000" w:themeColor="text1"/>
                <w:sz w:val="22"/>
                <w:szCs w:val="22"/>
              </w:rPr>
              <m:t>k</m:t>
            </m:r>
          </m:sub>
        </m:sSub>
      </m:oMath>
      <w:r w:rsidRPr="00852AD1">
        <w:rPr>
          <w:rFonts w:eastAsiaTheme="minorEastAsia"/>
          <w:color w:val="000000" w:themeColor="text1"/>
          <w:sz w:val="22"/>
          <w:szCs w:val="22"/>
        </w:rPr>
        <w:t xml:space="preserve"> is a vector of hospital fixed effects,  </w:t>
      </w:r>
      <m:oMath>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X</m:t>
            </m:r>
          </m:e>
          <m:sub>
            <m:r>
              <w:rPr>
                <w:rFonts w:ascii="Cambria Math" w:eastAsiaTheme="minorEastAsia" w:hAnsi="Cambria Math"/>
                <w:color w:val="000000" w:themeColor="text1"/>
                <w:sz w:val="22"/>
                <w:szCs w:val="22"/>
              </w:rPr>
              <m:t>i</m:t>
            </m:r>
          </m:sub>
        </m:sSub>
      </m:oMath>
      <w:r w:rsidRPr="00852AD1">
        <w:rPr>
          <w:rFonts w:eastAsiaTheme="minorEastAsia"/>
          <w:color w:val="000000" w:themeColor="text1"/>
          <w:sz w:val="22"/>
          <w:szCs w:val="22"/>
        </w:rPr>
        <w:t xml:space="preserve"> is a vector of patient characteristics including sex, age, race, and the comorbidities listed in </w:t>
      </w:r>
      <w:r w:rsidRPr="00852AD1">
        <w:rPr>
          <w:rFonts w:eastAsiaTheme="minorEastAsia"/>
          <w:b/>
          <w:color w:val="000000" w:themeColor="text1"/>
          <w:sz w:val="22"/>
          <w:szCs w:val="22"/>
        </w:rPr>
        <w:t>Table 1</w:t>
      </w:r>
      <w:r w:rsidRPr="00852AD1">
        <w:rPr>
          <w:rFonts w:eastAsiaTheme="minorEastAsia"/>
          <w:color w:val="000000" w:themeColor="text1"/>
          <w:sz w:val="22"/>
          <w:szCs w:val="22"/>
        </w:rPr>
        <w:t xml:space="preserve"> (e.g., diabetes, hypertension), and  </w:t>
      </w:r>
      <m:oMath>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ε</m:t>
            </m:r>
          </m:e>
          <m:sub>
            <m:r>
              <w:rPr>
                <w:rFonts w:ascii="Cambria Math" w:eastAsiaTheme="minorEastAsia" w:hAnsi="Cambria Math"/>
                <w:color w:val="000000" w:themeColor="text1"/>
                <w:sz w:val="22"/>
                <w:szCs w:val="22"/>
              </w:rPr>
              <m:t>ijt</m:t>
            </m:r>
          </m:sub>
        </m:sSub>
      </m:oMath>
      <w:r w:rsidRPr="00852AD1">
        <w:rPr>
          <w:rFonts w:eastAsiaTheme="minorEastAsia"/>
          <w:color w:val="000000" w:themeColor="text1"/>
          <w:sz w:val="22"/>
          <w:szCs w:val="22"/>
        </w:rPr>
        <w:t xml:space="preserve"> is the error term.  </w:t>
      </w:r>
      <m:oMath>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caa</m:t>
            </m:r>
          </m:e>
          <m:sub>
            <m:r>
              <w:rPr>
                <w:rFonts w:ascii="Cambria Math" w:eastAsiaTheme="minorEastAsia" w:hAnsi="Cambria Math"/>
                <w:color w:val="000000" w:themeColor="text1"/>
                <w:sz w:val="22"/>
                <w:szCs w:val="22"/>
              </w:rPr>
              <m:t>it</m:t>
            </m:r>
          </m:sub>
        </m:sSub>
      </m:oMath>
      <w:r w:rsidRPr="00852AD1">
        <w:rPr>
          <w:rFonts w:eastAsiaTheme="minorEastAsia"/>
          <w:color w:val="000000" w:themeColor="text1"/>
          <w:sz w:val="22"/>
          <w:szCs w:val="22"/>
        </w:rPr>
        <w:t xml:space="preserve"> is our independent variable of interest and is an indicator variable equaling 1 if the patient received care from a certified anesthesiologist assistant (AA) and 0 </w:t>
      </w:r>
      <w:proofErr w:type="gramStart"/>
      <w:r w:rsidRPr="00852AD1">
        <w:rPr>
          <w:rFonts w:eastAsiaTheme="minorEastAsia"/>
          <w:color w:val="000000" w:themeColor="text1"/>
          <w:sz w:val="22"/>
          <w:szCs w:val="22"/>
        </w:rPr>
        <w:t>otherwise.</w:t>
      </w:r>
      <w:proofErr w:type="gramEnd"/>
      <w:r w:rsidRPr="00852AD1">
        <w:rPr>
          <w:rFonts w:eastAsiaTheme="minorEastAsia"/>
          <w:color w:val="000000" w:themeColor="text1"/>
          <w:sz w:val="22"/>
          <w:szCs w:val="22"/>
        </w:rPr>
        <w:t xml:space="preserve">  </w:t>
      </w:r>
      <m:oMath>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share</m:t>
            </m:r>
          </m:e>
          <m:sub>
            <m:r>
              <w:rPr>
                <w:rFonts w:ascii="Cambria Math" w:eastAsiaTheme="minorEastAsia" w:hAnsi="Cambria Math"/>
                <w:color w:val="000000" w:themeColor="text1"/>
                <w:sz w:val="22"/>
                <w:szCs w:val="22"/>
              </w:rPr>
              <m:t>it</m:t>
            </m:r>
          </m:sub>
        </m:sSub>
      </m:oMath>
      <w:r w:rsidRPr="00852AD1">
        <w:rPr>
          <w:rFonts w:eastAsiaTheme="minorEastAsia"/>
          <w:color w:val="000000" w:themeColor="text1"/>
          <w:sz w:val="22"/>
          <w:szCs w:val="22"/>
        </w:rPr>
        <w:t xml:space="preserve"> is our instrument, which is the percentage of cases on the given date that were performed by AAs at hospital </w:t>
      </w:r>
      <w:r w:rsidRPr="00852AD1">
        <w:rPr>
          <w:rFonts w:eastAsiaTheme="minorEastAsia"/>
          <w:i/>
          <w:color w:val="000000" w:themeColor="text1"/>
          <w:sz w:val="22"/>
          <w:szCs w:val="22"/>
        </w:rPr>
        <w:t>k.</w:t>
      </w:r>
      <w:r w:rsidRPr="00852AD1">
        <w:rPr>
          <w:rFonts w:eastAsiaTheme="minorEastAsia"/>
          <w:color w:val="000000" w:themeColor="text1"/>
          <w:sz w:val="22"/>
          <w:szCs w:val="22"/>
        </w:rPr>
        <w:t xml:space="preserve"> The goal of the first-stage regression is to estimate the extent to which changes in the daily percentage of cases performed by AAs—a number that is largely driven by scheduling decisions unlikely to be related to unobservable patient characteristics—affected the probability that the patient </w:t>
      </w:r>
      <w:r w:rsidRPr="00852AD1">
        <w:rPr>
          <w:rFonts w:eastAsiaTheme="minorEastAsia"/>
          <w:i/>
          <w:color w:val="000000" w:themeColor="text1"/>
          <w:sz w:val="22"/>
          <w:szCs w:val="22"/>
        </w:rPr>
        <w:t>actually</w:t>
      </w:r>
      <w:r w:rsidRPr="00852AD1">
        <w:rPr>
          <w:rFonts w:eastAsiaTheme="minorEastAsia"/>
          <w:color w:val="000000" w:themeColor="text1"/>
          <w:sz w:val="22"/>
          <w:szCs w:val="22"/>
        </w:rPr>
        <w:t xml:space="preserve"> received care from a AA.  Using the regression results from equation (1), we then estimated </w:t>
      </w:r>
      <m:oMath>
        <m:acc>
          <m:accPr>
            <m:chr m:val="̃"/>
            <m:ctrlPr>
              <w:rPr>
                <w:rFonts w:ascii="Cambria Math" w:eastAsiaTheme="minorEastAsia" w:hAnsi="Cambria Math"/>
                <w:i/>
                <w:color w:val="000000" w:themeColor="text1"/>
                <w:sz w:val="22"/>
                <w:szCs w:val="22"/>
              </w:rPr>
            </m:ctrlPr>
          </m:accPr>
          <m:e>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caa</m:t>
                </m:r>
              </m:e>
              <m:sub>
                <m:r>
                  <w:rPr>
                    <w:rFonts w:ascii="Cambria Math" w:eastAsiaTheme="minorEastAsia" w:hAnsi="Cambria Math"/>
                    <w:color w:val="000000" w:themeColor="text1"/>
                    <w:sz w:val="22"/>
                    <w:szCs w:val="22"/>
                  </w:rPr>
                  <m:t>it</m:t>
                </m:r>
              </m:sub>
            </m:sSub>
          </m:e>
        </m:acc>
      </m:oMath>
      <w:r w:rsidRPr="00852AD1">
        <w:rPr>
          <w:rFonts w:eastAsiaTheme="minorEastAsia"/>
          <w:color w:val="000000" w:themeColor="text1"/>
          <w:sz w:val="22"/>
          <w:szCs w:val="22"/>
        </w:rPr>
        <w:t xml:space="preserve">, which is the </w:t>
      </w:r>
      <w:r w:rsidRPr="00852AD1">
        <w:rPr>
          <w:rFonts w:eastAsiaTheme="minorEastAsia"/>
          <w:i/>
          <w:color w:val="000000" w:themeColor="text1"/>
          <w:sz w:val="22"/>
          <w:szCs w:val="22"/>
        </w:rPr>
        <w:t>predicted</w:t>
      </w:r>
      <w:r w:rsidRPr="00852AD1">
        <w:rPr>
          <w:rFonts w:eastAsiaTheme="minorEastAsia"/>
          <w:color w:val="000000" w:themeColor="text1"/>
          <w:sz w:val="22"/>
          <w:szCs w:val="22"/>
        </w:rPr>
        <w:t xml:space="preserve"> probability that the patient</w:t>
      </w:r>
      <w:r w:rsidR="00CB53AA" w:rsidRPr="00852AD1">
        <w:rPr>
          <w:rFonts w:eastAsiaTheme="minorEastAsia"/>
          <w:color w:val="000000" w:themeColor="text1"/>
          <w:sz w:val="22"/>
          <w:szCs w:val="22"/>
        </w:rPr>
        <w:t xml:space="preserve"> would </w:t>
      </w:r>
      <w:proofErr w:type="spellStart"/>
      <w:r w:rsidR="00CB53AA" w:rsidRPr="00852AD1">
        <w:rPr>
          <w:rFonts w:eastAsiaTheme="minorEastAsia"/>
          <w:color w:val="000000" w:themeColor="text1"/>
          <w:sz w:val="22"/>
          <w:szCs w:val="22"/>
        </w:rPr>
        <w:t>hav</w:t>
      </w:r>
      <w:proofErr w:type="spellEnd"/>
      <w:r w:rsidR="00CB53AA" w:rsidRPr="00852AD1">
        <w:rPr>
          <w:rFonts w:eastAsiaTheme="minorEastAsia"/>
          <w:color w:val="000000" w:themeColor="text1"/>
          <w:sz w:val="22"/>
          <w:szCs w:val="22"/>
        </w:rPr>
        <w:t xml:space="preserve"> an AA involved in their care</w:t>
      </w:r>
      <w:r w:rsidRPr="00852AD1">
        <w:rPr>
          <w:rFonts w:eastAsiaTheme="minorEastAsia"/>
          <w:color w:val="000000" w:themeColor="text1"/>
          <w:sz w:val="22"/>
          <w:szCs w:val="22"/>
        </w:rPr>
        <w:t>, given the percentage of cases that utilized AAs on the given day and the remaining variables shown in equation (1).</w:t>
      </w:r>
    </w:p>
    <w:p w14:paraId="0A4A276D" w14:textId="77777777" w:rsidR="00FF3B15" w:rsidRPr="00852AD1" w:rsidRDefault="00FF3B15" w:rsidP="00FF3B15">
      <w:pPr>
        <w:spacing w:line="480" w:lineRule="auto"/>
        <w:outlineLvl w:val="0"/>
        <w:rPr>
          <w:rFonts w:eastAsiaTheme="minorEastAsia"/>
          <w:color w:val="000000" w:themeColor="text1"/>
          <w:sz w:val="22"/>
          <w:szCs w:val="22"/>
        </w:rPr>
      </w:pPr>
      <w:r w:rsidRPr="00852AD1">
        <w:rPr>
          <w:rFonts w:eastAsiaTheme="minorEastAsia"/>
          <w:color w:val="000000" w:themeColor="text1"/>
          <w:sz w:val="22"/>
          <w:szCs w:val="22"/>
        </w:rPr>
        <w:tab/>
        <w:t>The second stage regression was given by</w:t>
      </w:r>
    </w:p>
    <w:p w14:paraId="59D72E4D" w14:textId="77777777" w:rsidR="00FF3B15" w:rsidRPr="00852AD1" w:rsidRDefault="00961FEE" w:rsidP="00FF3B15">
      <w:pPr>
        <w:spacing w:line="480" w:lineRule="auto"/>
        <w:jc w:val="center"/>
        <w:rPr>
          <w:rFonts w:eastAsiaTheme="minorEastAsia"/>
          <w:color w:val="000000" w:themeColor="text1"/>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outcome</m:t>
            </m:r>
          </m:e>
          <m:sub>
            <m:r>
              <w:rPr>
                <w:rFonts w:ascii="Cambria Math" w:hAnsi="Cambria Math"/>
                <w:color w:val="000000" w:themeColor="text1"/>
                <w:sz w:val="22"/>
                <w:szCs w:val="22"/>
              </w:rPr>
              <m:t>ijkt</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time</m:t>
            </m:r>
          </m:e>
          <m:sub>
            <m:r>
              <w:rPr>
                <w:rFonts w:ascii="Cambria Math" w:hAnsi="Cambria Math"/>
                <w:color w:val="000000" w:themeColor="text1"/>
                <w:sz w:val="22"/>
                <w:szCs w:val="22"/>
              </w:rPr>
              <m:t>t</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α</m:t>
            </m:r>
          </m:e>
          <m:sub>
            <m:r>
              <w:rPr>
                <w:rFonts w:ascii="Cambria Math" w:hAnsi="Cambria Math"/>
                <w:color w:val="000000" w:themeColor="text1"/>
                <w:sz w:val="22"/>
                <w:szCs w:val="22"/>
              </w:rPr>
              <m:t>j</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θ</m:t>
            </m:r>
          </m:e>
          <m:sub>
            <m:r>
              <w:rPr>
                <w:rFonts w:ascii="Cambria Math" w:hAnsi="Cambria Math"/>
                <w:color w:val="000000" w:themeColor="text1"/>
                <w:sz w:val="22"/>
                <w:szCs w:val="22"/>
              </w:rPr>
              <m:t>k</m:t>
            </m:r>
          </m:sub>
        </m:sSub>
        <m:r>
          <w:rPr>
            <w:rFonts w:ascii="Cambria Math" w:hAnsi="Cambria Math"/>
            <w:color w:val="000000" w:themeColor="text1"/>
            <w:sz w:val="22"/>
            <w:szCs w:val="22"/>
          </w:rPr>
          <m:t>+</m:t>
        </m:r>
        <m:r>
          <w:rPr>
            <w:rFonts w:ascii="Cambria Math" w:hAnsi="Cambria Math"/>
            <w:i/>
            <w:color w:val="000000" w:themeColor="text1"/>
            <w:sz w:val="22"/>
            <w:szCs w:val="22"/>
          </w:rPr>
          <w:sym w:font="Symbol" w:char="F047"/>
        </m:r>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X</m:t>
            </m:r>
          </m:e>
          <m:sub>
            <m:r>
              <w:rPr>
                <w:rFonts w:ascii="Cambria Math" w:eastAsiaTheme="minorEastAsia" w:hAnsi="Cambria Math"/>
                <w:color w:val="000000" w:themeColor="text1"/>
                <w:sz w:val="22"/>
                <w:szCs w:val="22"/>
              </w:rPr>
              <m:t>i</m:t>
            </m:r>
          </m:sub>
        </m:sSub>
        <m:r>
          <w:rPr>
            <w:rFonts w:ascii="Cambria Math" w:eastAsiaTheme="minorEastAsia" w:hAnsi="Cambria Math"/>
            <w:color w:val="000000" w:themeColor="text1"/>
            <w:sz w:val="22"/>
            <w:szCs w:val="22"/>
          </w:rPr>
          <m:t>+β</m:t>
        </m:r>
        <m:acc>
          <m:accPr>
            <m:chr m:val="̃"/>
            <m:ctrlPr>
              <w:rPr>
                <w:rFonts w:ascii="Cambria Math" w:eastAsiaTheme="minorEastAsia" w:hAnsi="Cambria Math"/>
                <w:i/>
                <w:color w:val="000000" w:themeColor="text1"/>
                <w:sz w:val="22"/>
                <w:szCs w:val="22"/>
              </w:rPr>
            </m:ctrlPr>
          </m:accPr>
          <m:e>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caa</m:t>
                </m:r>
              </m:e>
              <m:sub>
                <m:r>
                  <w:rPr>
                    <w:rFonts w:ascii="Cambria Math" w:eastAsiaTheme="minorEastAsia" w:hAnsi="Cambria Math"/>
                    <w:color w:val="000000" w:themeColor="text1"/>
                    <w:sz w:val="22"/>
                    <w:szCs w:val="22"/>
                  </w:rPr>
                  <m:t>it</m:t>
                </m:r>
              </m:sub>
            </m:sSub>
          </m:e>
        </m:acc>
        <m:r>
          <w:rPr>
            <w:rFonts w:ascii="Cambria Math" w:eastAsiaTheme="minorEastAsia" w:hAnsi="Cambria Math"/>
            <w:color w:val="000000" w:themeColor="text1"/>
            <w:sz w:val="22"/>
            <w:szCs w:val="22"/>
          </w:rPr>
          <m:t>+</m:t>
        </m:r>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ε</m:t>
            </m:r>
          </m:e>
          <m:sub>
            <m:r>
              <w:rPr>
                <w:rFonts w:ascii="Cambria Math" w:eastAsiaTheme="minorEastAsia" w:hAnsi="Cambria Math"/>
                <w:color w:val="000000" w:themeColor="text1"/>
                <w:sz w:val="22"/>
                <w:szCs w:val="22"/>
              </w:rPr>
              <m:t>ijkt</m:t>
            </m:r>
          </m:sub>
        </m:sSub>
      </m:oMath>
      <w:r w:rsidR="00FF3B15" w:rsidRPr="00852AD1">
        <w:rPr>
          <w:rFonts w:eastAsiaTheme="minorEastAsia"/>
          <w:color w:val="000000" w:themeColor="text1"/>
          <w:sz w:val="22"/>
          <w:szCs w:val="22"/>
        </w:rPr>
        <w:tab/>
        <w:t>(2)</w:t>
      </w:r>
    </w:p>
    <w:p w14:paraId="2F183889" w14:textId="17486673" w:rsidR="00FF3B15" w:rsidRPr="00852AD1" w:rsidRDefault="00FF3B15" w:rsidP="00FF3B15">
      <w:pPr>
        <w:spacing w:line="480" w:lineRule="auto"/>
        <w:rPr>
          <w:i/>
          <w:color w:val="000000" w:themeColor="text1"/>
          <w:sz w:val="22"/>
          <w:szCs w:val="22"/>
        </w:rPr>
      </w:pPr>
      <w:r w:rsidRPr="00852AD1">
        <w:rPr>
          <w:color w:val="000000" w:themeColor="text1"/>
          <w:sz w:val="22"/>
          <w:szCs w:val="22"/>
        </w:rPr>
        <w:t xml:space="preserve">As with equation (1), </w:t>
      </w:r>
      <w:proofErr w:type="spellStart"/>
      <w:r w:rsidRPr="00852AD1">
        <w:rPr>
          <w:i/>
          <w:color w:val="000000" w:themeColor="text1"/>
          <w:sz w:val="22"/>
          <w:szCs w:val="22"/>
        </w:rPr>
        <w:t>i</w:t>
      </w:r>
      <w:proofErr w:type="spellEnd"/>
      <w:r w:rsidRPr="00852AD1">
        <w:rPr>
          <w:i/>
          <w:color w:val="000000" w:themeColor="text1"/>
          <w:sz w:val="22"/>
          <w:szCs w:val="22"/>
        </w:rPr>
        <w:t xml:space="preserve"> </w:t>
      </w:r>
      <w:r w:rsidRPr="00852AD1">
        <w:rPr>
          <w:color w:val="000000" w:themeColor="text1"/>
          <w:sz w:val="22"/>
          <w:szCs w:val="22"/>
        </w:rPr>
        <w:t xml:space="preserve">indexes the given patient, </w:t>
      </w:r>
      <w:r w:rsidRPr="00852AD1">
        <w:rPr>
          <w:i/>
          <w:color w:val="000000" w:themeColor="text1"/>
          <w:sz w:val="22"/>
          <w:szCs w:val="22"/>
        </w:rPr>
        <w:t>j</w:t>
      </w:r>
      <w:r w:rsidRPr="00852AD1">
        <w:rPr>
          <w:color w:val="000000" w:themeColor="text1"/>
          <w:sz w:val="22"/>
          <w:szCs w:val="22"/>
        </w:rPr>
        <w:t xml:space="preserve"> indexes the diagnosis related group, </w:t>
      </w:r>
      <w:r w:rsidRPr="00852AD1">
        <w:rPr>
          <w:i/>
          <w:color w:val="000000" w:themeColor="text1"/>
          <w:sz w:val="22"/>
          <w:szCs w:val="22"/>
        </w:rPr>
        <w:t xml:space="preserve">k </w:t>
      </w:r>
      <w:r w:rsidRPr="00852AD1">
        <w:rPr>
          <w:color w:val="000000" w:themeColor="text1"/>
          <w:sz w:val="22"/>
          <w:szCs w:val="22"/>
        </w:rPr>
        <w:t xml:space="preserve">indexes the hospital, and </w:t>
      </w:r>
      <w:r w:rsidRPr="00852AD1">
        <w:rPr>
          <w:i/>
          <w:color w:val="000000" w:themeColor="text1"/>
          <w:sz w:val="22"/>
          <w:szCs w:val="22"/>
        </w:rPr>
        <w:t xml:space="preserve">t </w:t>
      </w:r>
      <w:r w:rsidRPr="00852AD1">
        <w:rPr>
          <w:color w:val="000000" w:themeColor="text1"/>
          <w:sz w:val="22"/>
          <w:szCs w:val="22"/>
        </w:rPr>
        <w:t xml:space="preserve">indexes the year of surgery.  The variables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time</m:t>
            </m:r>
          </m:e>
          <m:sub>
            <m:r>
              <w:rPr>
                <w:rFonts w:ascii="Cambria Math" w:hAnsi="Cambria Math"/>
                <w:color w:val="000000" w:themeColor="text1"/>
                <w:sz w:val="22"/>
                <w:szCs w:val="22"/>
              </w:rPr>
              <m:t>t</m:t>
            </m:r>
          </m:sub>
        </m:sSub>
      </m:oMath>
      <w:r w:rsidRPr="00852AD1">
        <w:rPr>
          <w:rFonts w:eastAsiaTheme="minorEastAsia"/>
          <w:color w:val="000000" w:themeColor="text1"/>
          <w:sz w:val="22"/>
          <w:szCs w:val="22"/>
        </w:rPr>
        <w:t xml:space="preserve">,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α</m:t>
            </m:r>
          </m:e>
          <m:sub>
            <m:r>
              <w:rPr>
                <w:rFonts w:ascii="Cambria Math" w:hAnsi="Cambria Math"/>
                <w:color w:val="000000" w:themeColor="text1"/>
                <w:sz w:val="22"/>
                <w:szCs w:val="22"/>
              </w:rPr>
              <m:t>j</m:t>
            </m:r>
          </m:sub>
        </m:sSub>
      </m:oMath>
      <w:r w:rsidRPr="00852AD1">
        <w:rPr>
          <w:rFonts w:eastAsiaTheme="minorEastAsia"/>
          <w:color w:val="000000" w:themeColor="text1"/>
          <w:sz w:val="22"/>
          <w:szCs w:val="22"/>
        </w:rPr>
        <w:t xml:space="preserve">,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θ</m:t>
            </m:r>
          </m:e>
          <m:sub>
            <m:r>
              <w:rPr>
                <w:rFonts w:ascii="Cambria Math" w:hAnsi="Cambria Math"/>
                <w:color w:val="000000" w:themeColor="text1"/>
                <w:sz w:val="22"/>
                <w:szCs w:val="22"/>
              </w:rPr>
              <m:t>k</m:t>
            </m:r>
          </m:sub>
        </m:sSub>
      </m:oMath>
      <w:r w:rsidRPr="00852AD1">
        <w:rPr>
          <w:rFonts w:eastAsiaTheme="minorEastAsia"/>
          <w:color w:val="000000" w:themeColor="text1"/>
          <w:sz w:val="22"/>
          <w:szCs w:val="22"/>
        </w:rPr>
        <w:t xml:space="preserve">, and </w:t>
      </w:r>
      <m:oMath>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X</m:t>
            </m:r>
          </m:e>
          <m:sub>
            <m:r>
              <w:rPr>
                <w:rFonts w:ascii="Cambria Math" w:eastAsiaTheme="minorEastAsia" w:hAnsi="Cambria Math"/>
                <w:color w:val="000000" w:themeColor="text1"/>
                <w:sz w:val="22"/>
                <w:szCs w:val="22"/>
              </w:rPr>
              <m:t>i</m:t>
            </m:r>
          </m:sub>
        </m:sSub>
      </m:oMath>
      <w:r w:rsidRPr="00852AD1">
        <w:rPr>
          <w:rFonts w:eastAsiaTheme="minorEastAsia"/>
          <w:color w:val="000000" w:themeColor="text1"/>
          <w:sz w:val="22"/>
          <w:szCs w:val="22"/>
        </w:rPr>
        <w:t xml:space="preserve"> are retained from equation (1).  The dependent variable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outcome</m:t>
            </m:r>
          </m:e>
          <m:sub>
            <m:r>
              <w:rPr>
                <w:rFonts w:ascii="Cambria Math" w:hAnsi="Cambria Math"/>
                <w:color w:val="000000" w:themeColor="text1"/>
                <w:sz w:val="22"/>
                <w:szCs w:val="22"/>
              </w:rPr>
              <m:t>ijt</m:t>
            </m:r>
          </m:sub>
        </m:sSub>
      </m:oMath>
      <w:r w:rsidRPr="00852AD1">
        <w:rPr>
          <w:rFonts w:eastAsiaTheme="minorEastAsia"/>
          <w:color w:val="000000" w:themeColor="text1"/>
          <w:sz w:val="22"/>
          <w:szCs w:val="22"/>
        </w:rPr>
        <w:t xml:space="preserve"> is the outcome of interest (e.g., survival, length of stay).  </w:t>
      </w:r>
      <m:oMath>
        <m:acc>
          <m:accPr>
            <m:chr m:val="̃"/>
            <m:ctrlPr>
              <w:rPr>
                <w:rFonts w:ascii="Cambria Math" w:eastAsiaTheme="minorEastAsia" w:hAnsi="Cambria Math"/>
                <w:i/>
                <w:color w:val="000000" w:themeColor="text1"/>
                <w:sz w:val="22"/>
                <w:szCs w:val="22"/>
              </w:rPr>
            </m:ctrlPr>
          </m:accPr>
          <m:e>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caa</m:t>
                </m:r>
              </m:e>
              <m:sub>
                <m:r>
                  <w:rPr>
                    <w:rFonts w:ascii="Cambria Math" w:eastAsiaTheme="minorEastAsia" w:hAnsi="Cambria Math"/>
                    <w:color w:val="000000" w:themeColor="text1"/>
                    <w:sz w:val="22"/>
                    <w:szCs w:val="22"/>
                  </w:rPr>
                  <m:t>it</m:t>
                </m:r>
              </m:sub>
            </m:sSub>
          </m:e>
        </m:acc>
      </m:oMath>
      <w:r w:rsidRPr="00852AD1">
        <w:rPr>
          <w:rFonts w:eastAsiaTheme="minorEastAsia"/>
          <w:color w:val="000000" w:themeColor="text1"/>
          <w:sz w:val="22"/>
          <w:szCs w:val="22"/>
        </w:rPr>
        <w:t xml:space="preserve"> is the predicted probability that a</w:t>
      </w:r>
      <w:r w:rsidR="008E0D4B" w:rsidRPr="00852AD1">
        <w:rPr>
          <w:rFonts w:eastAsiaTheme="minorEastAsia"/>
          <w:color w:val="000000" w:themeColor="text1"/>
          <w:sz w:val="22"/>
          <w:szCs w:val="22"/>
        </w:rPr>
        <w:t>n AA would be involved in the</w:t>
      </w:r>
      <w:r w:rsidRPr="00852AD1">
        <w:rPr>
          <w:rFonts w:eastAsiaTheme="minorEastAsia"/>
          <w:color w:val="000000" w:themeColor="text1"/>
          <w:sz w:val="22"/>
          <w:szCs w:val="22"/>
        </w:rPr>
        <w:t xml:space="preserve"> patient</w:t>
      </w:r>
      <w:r w:rsidR="008E0D4B" w:rsidRPr="00852AD1">
        <w:rPr>
          <w:rFonts w:eastAsiaTheme="minorEastAsia"/>
          <w:color w:val="000000" w:themeColor="text1"/>
          <w:sz w:val="22"/>
          <w:szCs w:val="22"/>
        </w:rPr>
        <w:t>’s care</w:t>
      </w:r>
      <w:r w:rsidRPr="00852AD1">
        <w:rPr>
          <w:rFonts w:eastAsiaTheme="minorEastAsia"/>
          <w:color w:val="000000" w:themeColor="text1"/>
          <w:sz w:val="22"/>
          <w:szCs w:val="22"/>
        </w:rPr>
        <w:t xml:space="preserve">, and </w:t>
      </w:r>
      <m:oMath>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ε</m:t>
            </m:r>
          </m:e>
          <m:sub>
            <m:r>
              <w:rPr>
                <w:rFonts w:ascii="Cambria Math" w:eastAsiaTheme="minorEastAsia" w:hAnsi="Cambria Math"/>
                <w:color w:val="000000" w:themeColor="text1"/>
                <w:sz w:val="22"/>
                <w:szCs w:val="22"/>
              </w:rPr>
              <m:t>ijkt</m:t>
            </m:r>
          </m:sub>
        </m:sSub>
      </m:oMath>
      <w:r w:rsidR="008E0D4B" w:rsidRPr="00852AD1">
        <w:rPr>
          <w:rFonts w:eastAsiaTheme="minorEastAsia"/>
          <w:color w:val="000000" w:themeColor="text1"/>
          <w:sz w:val="22"/>
          <w:szCs w:val="22"/>
        </w:rPr>
        <w:t xml:space="preserve"> is the error </w:t>
      </w:r>
      <w:proofErr w:type="gramStart"/>
      <w:r w:rsidR="008E0D4B" w:rsidRPr="00852AD1">
        <w:rPr>
          <w:rFonts w:eastAsiaTheme="minorEastAsia"/>
          <w:color w:val="000000" w:themeColor="text1"/>
          <w:sz w:val="22"/>
          <w:szCs w:val="22"/>
        </w:rPr>
        <w:t>term.</w:t>
      </w:r>
      <w:proofErr w:type="gramEnd"/>
      <w:r w:rsidRPr="00852AD1">
        <w:rPr>
          <w:rFonts w:eastAsiaTheme="minorEastAsia"/>
          <w:color w:val="000000" w:themeColor="text1"/>
          <w:sz w:val="22"/>
          <w:szCs w:val="22"/>
        </w:rPr>
        <w:t xml:space="preserve">  Our coefficient of interest is </w:t>
      </w:r>
      <m:oMath>
        <m:r>
          <w:rPr>
            <w:rFonts w:ascii="Cambria Math" w:eastAsiaTheme="minorEastAsia" w:hAnsi="Cambria Math"/>
            <w:color w:val="000000" w:themeColor="text1"/>
            <w:sz w:val="22"/>
            <w:szCs w:val="22"/>
          </w:rPr>
          <m:t>β</m:t>
        </m:r>
      </m:oMath>
      <w:r w:rsidRPr="00852AD1">
        <w:rPr>
          <w:rFonts w:eastAsiaTheme="minorEastAsia"/>
          <w:color w:val="000000" w:themeColor="text1"/>
          <w:sz w:val="22"/>
          <w:szCs w:val="22"/>
        </w:rPr>
        <w:t xml:space="preserve">, which represents the expected change in the given outcome for </w:t>
      </w:r>
      <w:r w:rsidR="008E0D4B" w:rsidRPr="00852AD1">
        <w:rPr>
          <w:rFonts w:eastAsiaTheme="minorEastAsia"/>
          <w:color w:val="000000" w:themeColor="text1"/>
          <w:sz w:val="22"/>
          <w:szCs w:val="22"/>
        </w:rPr>
        <w:t>cases with AA involvement (compared to cases with NA involvement).</w:t>
      </w:r>
      <w:r w:rsidRPr="00852AD1">
        <w:rPr>
          <w:rFonts w:eastAsiaTheme="minorEastAsia"/>
          <w:color w:val="000000" w:themeColor="text1"/>
          <w:sz w:val="22"/>
          <w:szCs w:val="22"/>
        </w:rPr>
        <w:t xml:space="preserve">   </w:t>
      </w:r>
    </w:p>
    <w:p w14:paraId="4F3D9D36" w14:textId="7602A5BC" w:rsidR="00FF3B15" w:rsidRPr="00852AD1" w:rsidRDefault="00FF3B15" w:rsidP="00FF3B15">
      <w:pPr>
        <w:spacing w:line="480" w:lineRule="auto"/>
        <w:ind w:firstLine="720"/>
        <w:rPr>
          <w:rFonts w:eastAsiaTheme="minorEastAsia"/>
          <w:color w:val="000000" w:themeColor="text1"/>
          <w:sz w:val="22"/>
          <w:szCs w:val="22"/>
        </w:rPr>
      </w:pPr>
      <w:r w:rsidRPr="00852AD1">
        <w:rPr>
          <w:rFonts w:eastAsiaTheme="minorEastAsia"/>
          <w:color w:val="000000" w:themeColor="text1"/>
          <w:sz w:val="22"/>
          <w:szCs w:val="22"/>
        </w:rPr>
        <w:t xml:space="preserve">In the case of survival,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outcome</m:t>
            </m:r>
          </m:e>
          <m:sub>
            <m:r>
              <w:rPr>
                <w:rFonts w:ascii="Cambria Math" w:hAnsi="Cambria Math"/>
                <w:color w:val="000000" w:themeColor="text1"/>
                <w:sz w:val="22"/>
                <w:szCs w:val="22"/>
              </w:rPr>
              <m:t>ijt</m:t>
            </m:r>
          </m:sub>
        </m:sSub>
      </m:oMath>
      <w:r w:rsidRPr="00852AD1">
        <w:rPr>
          <w:rFonts w:eastAsiaTheme="minorEastAsia"/>
          <w:color w:val="000000" w:themeColor="text1"/>
          <w:sz w:val="22"/>
          <w:szCs w:val="22"/>
        </w:rPr>
        <w:t xml:space="preserve"> was modeled as an indicator variable equaling one if the patient died during the inpatient stay and zero otherwise.  Thus, for survival, the statistical model outlined in equation (2) represents a linear probability model, and </w:t>
      </w:r>
      <m:oMath>
        <m:r>
          <w:rPr>
            <w:rFonts w:ascii="Cambria Math" w:eastAsiaTheme="minorEastAsia" w:hAnsi="Cambria Math"/>
            <w:color w:val="000000" w:themeColor="text1"/>
            <w:sz w:val="22"/>
            <w:szCs w:val="22"/>
          </w:rPr>
          <m:t>β</m:t>
        </m:r>
      </m:oMath>
      <w:r w:rsidRPr="00852AD1">
        <w:rPr>
          <w:rFonts w:eastAsiaTheme="minorEastAsia"/>
          <w:color w:val="000000" w:themeColor="text1"/>
          <w:sz w:val="22"/>
          <w:szCs w:val="22"/>
        </w:rPr>
        <w:t xml:space="preserve"> represents the absolute (i.e., percentage point) change in the probability of the outcome associated with receiving care from a AA.  We chose a linear probability model because our analysis  </w:t>
      </w:r>
      <w:r w:rsidRPr="00852AD1">
        <w:rPr>
          <w:color w:val="000000" w:themeColor="text1"/>
          <w:sz w:val="22"/>
          <w:szCs w:val="22"/>
        </w:rPr>
        <w:t xml:space="preserve">required the use of numerous indicator variables (e.g., the hospital and procedure fixed effects), which can lead to computational difficulties with logistic or </w:t>
      </w:r>
      <w:proofErr w:type="spellStart"/>
      <w:r w:rsidRPr="00852AD1">
        <w:rPr>
          <w:color w:val="000000" w:themeColor="text1"/>
          <w:sz w:val="22"/>
          <w:szCs w:val="22"/>
        </w:rPr>
        <w:t>probit</w:t>
      </w:r>
      <w:proofErr w:type="spellEnd"/>
      <w:r w:rsidRPr="00852AD1">
        <w:rPr>
          <w:color w:val="000000" w:themeColor="text1"/>
          <w:sz w:val="22"/>
          <w:szCs w:val="22"/>
        </w:rPr>
        <w:t xml:space="preserve"> regression.</w:t>
      </w:r>
      <w:r w:rsidRPr="00852AD1">
        <w:rPr>
          <w:color w:val="000000" w:themeColor="text1"/>
          <w:sz w:val="22"/>
          <w:szCs w:val="22"/>
        </w:rPr>
        <w:fldChar w:fldCharType="begin"/>
      </w:r>
      <w:r w:rsidR="004971D7" w:rsidRPr="00852AD1">
        <w:rPr>
          <w:color w:val="000000" w:themeColor="text1"/>
          <w:sz w:val="22"/>
          <w:szCs w:val="22"/>
        </w:rPr>
        <w:instrText xml:space="preserve"> ADDIN EN.CITE &lt;EndNote&gt;&lt;Cite&gt;&lt;Author&gt;Allison&lt;/Author&gt;&lt;Year&gt;2008&lt;/Year&gt;&lt;RecNum&gt;473&lt;/RecNum&gt;&lt;DisplayText&gt;&lt;style face="superscript"&gt;5&lt;/style&gt;&lt;/DisplayText&gt;&lt;record&gt;&lt;rec-number&gt;473&lt;/rec-number&gt;&lt;foreign-keys&gt;&lt;key app="EN" db-id="0xf0xwdxlx9z58e90rpp9fzqspssfxxvdpx2"&gt;473&lt;/key&gt;&lt;/foreign-keys&gt;&lt;ref-type name="Journal Article"&gt;17&lt;/ref-type&gt;&lt;contributors&gt;&lt;authors&gt;&lt;author&gt;Allison, Paul&lt;/author&gt;&lt;/authors&gt;&lt;/contributors&gt;&lt;titles&gt;&lt;title&gt;Convergence Failures in Logistic Regression&lt;/title&gt;&lt;secondary-title&gt;SAS Global Forum&lt;/secondary-title&gt;&lt;/titles&gt;&lt;periodical&gt;&lt;full-title&gt;SAS Global Forum&lt;/full-title&gt;&lt;/periodical&gt;&lt;volume&gt;Paper 360-2008&lt;/volume&gt;&lt;dates&gt;&lt;year&gt;2008&lt;/year&gt;&lt;/dates&gt;&lt;urls&gt;&lt;/urls&gt;&lt;/record&gt;&lt;/Cite&gt;&lt;/EndNote&gt;</w:instrText>
      </w:r>
      <w:r w:rsidRPr="00852AD1">
        <w:rPr>
          <w:color w:val="000000" w:themeColor="text1"/>
          <w:sz w:val="22"/>
          <w:szCs w:val="22"/>
        </w:rPr>
        <w:fldChar w:fldCharType="separate"/>
      </w:r>
      <w:r w:rsidR="004971D7" w:rsidRPr="00852AD1">
        <w:rPr>
          <w:noProof/>
          <w:color w:val="000000" w:themeColor="text1"/>
          <w:sz w:val="22"/>
          <w:szCs w:val="22"/>
          <w:vertAlign w:val="superscript"/>
        </w:rPr>
        <w:t>5</w:t>
      </w:r>
      <w:r w:rsidRPr="00852AD1">
        <w:rPr>
          <w:color w:val="000000" w:themeColor="text1"/>
          <w:sz w:val="22"/>
          <w:szCs w:val="22"/>
        </w:rPr>
        <w:fldChar w:fldCharType="end"/>
      </w:r>
      <w:r w:rsidRPr="00852AD1">
        <w:rPr>
          <w:color w:val="000000" w:themeColor="text1"/>
          <w:sz w:val="22"/>
          <w:szCs w:val="22"/>
        </w:rPr>
        <w:t xml:space="preserve">  In addition, our instrumental variables model is unique because our endogenous regressor (whether the patient received care from a AA) </w:t>
      </w:r>
      <w:r w:rsidRPr="00852AD1">
        <w:rPr>
          <w:i/>
          <w:color w:val="000000" w:themeColor="text1"/>
          <w:sz w:val="22"/>
          <w:szCs w:val="22"/>
        </w:rPr>
        <w:t>and</w:t>
      </w:r>
      <w:r w:rsidRPr="00852AD1">
        <w:rPr>
          <w:color w:val="000000" w:themeColor="text1"/>
          <w:sz w:val="22"/>
          <w:szCs w:val="22"/>
        </w:rPr>
        <w:t xml:space="preserve"> our clinical outcomes are discrete variables.  In this circumstance, a two stage least squares regression is appropriate.</w:t>
      </w:r>
      <w:r w:rsidRPr="00852AD1">
        <w:rPr>
          <w:color w:val="000000" w:themeColor="text1"/>
          <w:sz w:val="22"/>
          <w:szCs w:val="22"/>
        </w:rPr>
        <w:fldChar w:fldCharType="begin"/>
      </w:r>
      <w:r w:rsidR="004971D7" w:rsidRPr="00852AD1">
        <w:rPr>
          <w:color w:val="000000" w:themeColor="text1"/>
          <w:sz w:val="22"/>
          <w:szCs w:val="22"/>
        </w:rPr>
        <w:instrText xml:space="preserve"> ADDIN EN.CITE &lt;EndNote&gt;&lt;Cite&gt;&lt;Author&gt;Lewbel&lt;/Author&gt;&lt;Year&gt;2012&lt;/Year&gt;&lt;RecNum&gt;500&lt;/RecNum&gt;&lt;DisplayText&gt;&lt;style face="superscript"&gt;6&lt;/style&gt;&lt;/DisplayText&gt;&lt;record&gt;&lt;rec-number&gt;500&lt;/rec-number&gt;&lt;foreign-keys&gt;&lt;key app="EN" db-id="9zs2wfp0csdv0me90er5wp0kwprdsrzz29v0" timestamp="1484789762"&gt;500&lt;/key&gt;&lt;/foreign-keys&gt;&lt;ref-type name="Journal Article"&gt;17&lt;/ref-type&gt;&lt;contributors&gt;&lt;authors&gt;&lt;author&gt;Arthur Lewbel&lt;/author&gt;&lt;author&gt;Yingying Dong&lt;/author&gt;&lt;author&gt;Thomas Tao Yang&lt;/author&gt;&lt;/authors&gt;&lt;/contributors&gt;&lt;titles&gt;&lt;title&gt;Comparing features of convenient estimators for binary choice models with endogenous regressors&lt;/title&gt;&lt;secondary-title&gt;Canadian Journal of Economics&lt;/secondary-title&gt;&lt;/titles&gt;&lt;periodical&gt;&lt;full-title&gt;Canadian Journal of Economics&lt;/full-title&gt;&lt;/periodical&gt;&lt;pages&gt;809-829&lt;/pages&gt;&lt;volume&gt;45&lt;/volume&gt;&lt;number&gt;3&lt;/number&gt;&lt;dates&gt;&lt;year&gt;2012&lt;/year&gt;&lt;/dates&gt;&lt;urls&gt;&lt;/urls&gt;&lt;/record&gt;&lt;/Cite&gt;&lt;/EndNote&gt;</w:instrText>
      </w:r>
      <w:r w:rsidRPr="00852AD1">
        <w:rPr>
          <w:color w:val="000000" w:themeColor="text1"/>
          <w:sz w:val="22"/>
          <w:szCs w:val="22"/>
        </w:rPr>
        <w:fldChar w:fldCharType="separate"/>
      </w:r>
      <w:r w:rsidR="004971D7" w:rsidRPr="00852AD1">
        <w:rPr>
          <w:noProof/>
          <w:color w:val="000000" w:themeColor="text1"/>
          <w:sz w:val="22"/>
          <w:szCs w:val="22"/>
          <w:vertAlign w:val="superscript"/>
        </w:rPr>
        <w:t>6</w:t>
      </w:r>
      <w:r w:rsidRPr="00852AD1">
        <w:rPr>
          <w:color w:val="000000" w:themeColor="text1"/>
          <w:sz w:val="22"/>
          <w:szCs w:val="22"/>
        </w:rPr>
        <w:fldChar w:fldCharType="end"/>
      </w:r>
      <w:r w:rsidRPr="00852AD1">
        <w:rPr>
          <w:color w:val="000000" w:themeColor="text1"/>
          <w:sz w:val="22"/>
          <w:szCs w:val="22"/>
        </w:rPr>
        <w:t xml:space="preserve">  </w:t>
      </w:r>
      <w:r w:rsidR="004971D7" w:rsidRPr="00852AD1">
        <w:rPr>
          <w:color w:val="000000" w:themeColor="text1"/>
          <w:sz w:val="22"/>
          <w:szCs w:val="22"/>
        </w:rPr>
        <w:t>Finally, in the setting of numerous fixed effects, nonlinear models such as the logit can be biased (the “incidental parameters problem”), while the linear probability model does not have this issue.</w:t>
      </w:r>
      <w:r w:rsidR="004971D7" w:rsidRPr="00852AD1">
        <w:rPr>
          <w:color w:val="000000" w:themeColor="text1"/>
          <w:sz w:val="22"/>
          <w:szCs w:val="22"/>
        </w:rPr>
        <w:fldChar w:fldCharType="begin"/>
      </w:r>
      <w:r w:rsidR="004971D7" w:rsidRPr="00852AD1">
        <w:rPr>
          <w:color w:val="000000" w:themeColor="text1"/>
          <w:sz w:val="22"/>
          <w:szCs w:val="22"/>
        </w:rPr>
        <w:instrText xml:space="preserve"> ADDIN EN.CITE &lt;EndNote&gt;&lt;Cite&gt;&lt;Author&gt;Greene&lt;/Author&gt;&lt;Year&gt;2004&lt;/Year&gt;&lt;RecNum&gt;743&lt;/RecNum&gt;&lt;DisplayText&gt;&lt;style face="superscript"&gt;7&lt;/style&gt;&lt;/DisplayText&gt;&lt;record&gt;&lt;rec-number&gt;743&lt;/rec-number&gt;&lt;foreign-keys&gt;&lt;key app="EN" db-id="9zs2wfp0csdv0me90er5wp0kwprdsrzz29v0" timestamp="1511916747"&gt;743&lt;/key&gt;&lt;/foreign-keys&gt;&lt;ref-type name="Journal Article"&gt;17&lt;/ref-type&gt;&lt;contributors&gt;&lt;authors&gt;&lt;author&gt;William Greene&lt;/author&gt;&lt;/authors&gt;&lt;/contributors&gt;&lt;titles&gt;&lt;title&gt;The behaviour of the maximum likelihood estimator of limited dependent variable models in the presence of fixed effects&lt;/title&gt;&lt;secondary-title&gt;The Econometrics Journal&lt;/secondary-title&gt;&lt;/titles&gt;&lt;periodical&gt;&lt;full-title&gt;The Econometrics Journal&lt;/full-title&gt;&lt;/periodical&gt;&lt;pages&gt;98-119&lt;/pages&gt;&lt;volume&gt;7&lt;/volume&gt;&lt;number&gt;1&lt;/number&gt;&lt;dates&gt;&lt;year&gt;2004&lt;/year&gt;&lt;/dates&gt;&lt;urls&gt;&lt;/urls&gt;&lt;/record&gt;&lt;/Cite&gt;&lt;/EndNote&gt;</w:instrText>
      </w:r>
      <w:r w:rsidR="004971D7" w:rsidRPr="00852AD1">
        <w:rPr>
          <w:color w:val="000000" w:themeColor="text1"/>
          <w:sz w:val="22"/>
          <w:szCs w:val="22"/>
        </w:rPr>
        <w:fldChar w:fldCharType="separate"/>
      </w:r>
      <w:r w:rsidR="004971D7" w:rsidRPr="00852AD1">
        <w:rPr>
          <w:noProof/>
          <w:color w:val="000000" w:themeColor="text1"/>
          <w:sz w:val="22"/>
          <w:szCs w:val="22"/>
          <w:vertAlign w:val="superscript"/>
        </w:rPr>
        <w:t>7</w:t>
      </w:r>
      <w:r w:rsidR="004971D7" w:rsidRPr="00852AD1">
        <w:rPr>
          <w:color w:val="000000" w:themeColor="text1"/>
          <w:sz w:val="22"/>
          <w:szCs w:val="22"/>
        </w:rPr>
        <w:fldChar w:fldCharType="end"/>
      </w:r>
      <w:r w:rsidR="004971D7" w:rsidRPr="00852AD1">
        <w:rPr>
          <w:color w:val="000000" w:themeColor="text1"/>
          <w:sz w:val="22"/>
          <w:szCs w:val="22"/>
        </w:rPr>
        <w:t xml:space="preserve">  </w:t>
      </w:r>
    </w:p>
    <w:p w14:paraId="09C4F85D" w14:textId="6A27F70D" w:rsidR="00FF3B15" w:rsidRPr="00852AD1" w:rsidRDefault="00FF3B15" w:rsidP="00FF3B15">
      <w:pPr>
        <w:spacing w:line="480" w:lineRule="auto"/>
        <w:ind w:firstLine="720"/>
        <w:rPr>
          <w:rFonts w:cs="Times New Roman"/>
          <w:color w:val="000000" w:themeColor="text1"/>
          <w:sz w:val="22"/>
          <w:szCs w:val="22"/>
        </w:rPr>
      </w:pPr>
      <w:r w:rsidRPr="00852AD1">
        <w:rPr>
          <w:color w:val="000000" w:themeColor="text1"/>
          <w:sz w:val="22"/>
          <w:szCs w:val="22"/>
        </w:rPr>
        <w:t xml:space="preserve">In estimating our regression models, we clustered our errors at the hospital level. Although our sample consisted of a large number of observations, these observations may not be independent of each other.  Therefore, </w:t>
      </w:r>
      <w:r w:rsidRPr="00852AD1">
        <w:rPr>
          <w:rFonts w:cs="Times New Roman"/>
          <w:color w:val="000000" w:themeColor="text1"/>
          <w:sz w:val="22"/>
          <w:szCs w:val="22"/>
        </w:rPr>
        <w:t>a simple ordinary least squares (OLS) regression would tend to underestimate our standard errors (and overestimate the statistical significance of our regression coefficients).  Calculating clustered standard errors is an appropriate approach to deal with this issue.</w:t>
      </w:r>
      <w:r w:rsidRPr="00852AD1">
        <w:rPr>
          <w:rFonts w:cs="Times New Roman"/>
          <w:color w:val="000000" w:themeColor="text1"/>
          <w:sz w:val="22"/>
          <w:szCs w:val="22"/>
        </w:rPr>
        <w:fldChar w:fldCharType="begin"/>
      </w:r>
      <w:r w:rsidR="004971D7" w:rsidRPr="00852AD1">
        <w:rPr>
          <w:rFonts w:cs="Times New Roman"/>
          <w:color w:val="000000" w:themeColor="text1"/>
          <w:sz w:val="22"/>
          <w:szCs w:val="22"/>
        </w:rPr>
        <w:instrText xml:space="preserve"> ADDIN EN.CITE &lt;EndNote&gt;&lt;Cite&gt;&lt;Author&gt;Wooldridge&lt;/Author&gt;&lt;Year&gt;2003&lt;/Year&gt;&lt;RecNum&gt;47&lt;/RecNum&gt;&lt;DisplayText&gt;&lt;style face="superscript"&gt;8&lt;/style&gt;&lt;/DisplayText&gt;&lt;record&gt;&lt;rec-number&gt;47&lt;/rec-number&gt;&lt;foreign-keys&gt;&lt;key app="EN" db-id="w5xt0v9zjd9e0qere98xdww9at0p9xs2asw5" timestamp="1426871085"&gt;47&lt;/key&gt;&lt;/foreign-keys&gt;&lt;ref-type name="Journal Article"&gt;17&lt;/ref-type&gt;&lt;contributors&gt;&lt;authors&gt;&lt;author&gt;Wooldridge, Jeffery M.&lt;/author&gt;&lt;/authors&gt;&lt;/contributors&gt;&lt;titles&gt;&lt;title&gt;Cluster-Sample Methods in Applied Econometrics&lt;/title&gt;&lt;secondary-title&gt;The American Economic Review&lt;/secondary-title&gt;&lt;/titles&gt;&lt;periodical&gt;&lt;full-title&gt;The American Economic Review&lt;/full-title&gt;&lt;/periodical&gt;&lt;pages&gt;133-138&lt;/pages&gt;&lt;volume&gt;93&lt;/volume&gt;&lt;number&gt;2&lt;/number&gt;&lt;dates&gt;&lt;year&gt;2003&lt;/year&gt;&lt;/dates&gt;&lt;urls&gt;&lt;/urls&gt;&lt;/record&gt;&lt;/Cite&gt;&lt;/EndNote&gt;</w:instrText>
      </w:r>
      <w:r w:rsidRPr="00852AD1">
        <w:rPr>
          <w:rFonts w:cs="Times New Roman"/>
          <w:color w:val="000000" w:themeColor="text1"/>
          <w:sz w:val="22"/>
          <w:szCs w:val="22"/>
        </w:rPr>
        <w:fldChar w:fldCharType="separate"/>
      </w:r>
      <w:r w:rsidR="004971D7" w:rsidRPr="00852AD1">
        <w:rPr>
          <w:rFonts w:cs="Times New Roman"/>
          <w:noProof/>
          <w:color w:val="000000" w:themeColor="text1"/>
          <w:sz w:val="22"/>
          <w:szCs w:val="22"/>
          <w:vertAlign w:val="superscript"/>
        </w:rPr>
        <w:t>8</w:t>
      </w:r>
      <w:r w:rsidRPr="00852AD1">
        <w:rPr>
          <w:rFonts w:cs="Times New Roman"/>
          <w:color w:val="000000" w:themeColor="text1"/>
          <w:sz w:val="22"/>
          <w:szCs w:val="22"/>
        </w:rPr>
        <w:fldChar w:fldCharType="end"/>
      </w:r>
      <w:r w:rsidRPr="00852AD1">
        <w:rPr>
          <w:rFonts w:cs="Times New Roman"/>
          <w:color w:val="000000" w:themeColor="text1"/>
          <w:sz w:val="22"/>
          <w:szCs w:val="22"/>
        </w:rPr>
        <w:t xml:space="preserve"> In essence, clustering adjusts the standard errors based on the observed level of correlation within a given unit </w:t>
      </w:r>
      <w:r w:rsidRPr="00852AD1">
        <w:rPr>
          <w:rFonts w:cs="Times New Roman"/>
          <w:color w:val="000000" w:themeColor="text1"/>
          <w:sz w:val="22"/>
          <w:szCs w:val="22"/>
        </w:rPr>
        <w:lastRenderedPageBreak/>
        <w:t>(cluster) defined by the investigator. Since we were primarily concerned with correlation within a given hospital, we clustered our standard errors at the hospital level.</w:t>
      </w:r>
      <w:r w:rsidRPr="00852AD1">
        <w:rPr>
          <w:rFonts w:cs="Times New Roman"/>
          <w:color w:val="000000" w:themeColor="text1"/>
          <w:sz w:val="22"/>
          <w:szCs w:val="22"/>
        </w:rPr>
        <w:fldChar w:fldCharType="begin"/>
      </w:r>
      <w:r w:rsidR="004971D7" w:rsidRPr="00852AD1">
        <w:rPr>
          <w:rFonts w:cs="Times New Roman"/>
          <w:color w:val="000000" w:themeColor="text1"/>
          <w:sz w:val="22"/>
          <w:szCs w:val="22"/>
        </w:rPr>
        <w:instrText xml:space="preserve"> ADDIN EN.CITE &lt;EndNote&gt;&lt;Cite&gt;&lt;Author&gt;Bertrand&lt;/Author&gt;&lt;Year&gt;2004&lt;/Year&gt;&lt;RecNum&gt;48&lt;/RecNum&gt;&lt;DisplayText&gt;&lt;style face="superscript"&gt;9&lt;/style&gt;&lt;/DisplayText&gt;&lt;record&gt;&lt;rec-number&gt;48&lt;/rec-number&gt;&lt;foreign-keys&gt;&lt;key app="EN" db-id="w5xt0v9zjd9e0qere98xdww9at0p9xs2asw5" timestamp="1426871669"&gt;48&lt;/key&gt;&lt;/foreign-keys&gt;&lt;ref-type name="Journal Article"&gt;17&lt;/ref-type&gt;&lt;contributors&gt;&lt;authors&gt;&lt;author&gt;Bertrand, Marianne&lt;/author&gt;&lt;author&gt;Duflo, Esther&lt;/author&gt;&lt;author&gt;Mullainathan, Sendhil&lt;/author&gt;&lt;/authors&gt;&lt;/contributors&gt;&lt;titles&gt;&lt;title&gt;How Much Should We Trust Differences-in-Differences Estimates?&lt;/title&gt;&lt;secondary-title&gt;The Quarterly Journal of Economics&lt;/secondary-title&gt;&lt;/titles&gt;&lt;periodical&gt;&lt;full-title&gt;The Quarterly Journal of Economics&lt;/full-title&gt;&lt;/periodical&gt;&lt;pages&gt;249-275&lt;/pages&gt;&lt;volume&gt;119&lt;/volume&gt;&lt;number&gt;1&lt;/number&gt;&lt;dates&gt;&lt;year&gt;2004&lt;/year&gt;&lt;/dates&gt;&lt;urls&gt;&lt;/urls&gt;&lt;/record&gt;&lt;/Cite&gt;&lt;/EndNote&gt;</w:instrText>
      </w:r>
      <w:r w:rsidRPr="00852AD1">
        <w:rPr>
          <w:rFonts w:cs="Times New Roman"/>
          <w:color w:val="000000" w:themeColor="text1"/>
          <w:sz w:val="22"/>
          <w:szCs w:val="22"/>
        </w:rPr>
        <w:fldChar w:fldCharType="separate"/>
      </w:r>
      <w:r w:rsidR="004971D7" w:rsidRPr="00852AD1">
        <w:rPr>
          <w:rFonts w:cs="Times New Roman"/>
          <w:noProof/>
          <w:color w:val="000000" w:themeColor="text1"/>
          <w:sz w:val="22"/>
          <w:szCs w:val="22"/>
          <w:vertAlign w:val="superscript"/>
        </w:rPr>
        <w:t>9</w:t>
      </w:r>
      <w:r w:rsidRPr="00852AD1">
        <w:rPr>
          <w:rFonts w:cs="Times New Roman"/>
          <w:color w:val="000000" w:themeColor="text1"/>
          <w:sz w:val="22"/>
          <w:szCs w:val="22"/>
        </w:rPr>
        <w:fldChar w:fldCharType="end"/>
      </w:r>
      <w:r w:rsidRPr="00852AD1">
        <w:rPr>
          <w:rFonts w:cs="Times New Roman"/>
          <w:color w:val="000000" w:themeColor="text1"/>
          <w:sz w:val="22"/>
          <w:szCs w:val="22"/>
        </w:rPr>
        <w:t xml:space="preserve">  Clustering our standard errors also provides the additional benefit of producing standard errors that are robust to heteroscedasticity.  While the use of a linear probability model in the case of survival generally results in unbiased estimates of the model parameters, using a straightforward ordinary least squares approach can lead to inconsistent estimates of the standard errors because the linear probability model violates the traditional assumptions on non-heteroscedasticity.  Obtaining robust or clustered standard errors is a standard approach towards dealing with this issue.</w:t>
      </w:r>
      <w:r w:rsidRPr="00852AD1">
        <w:rPr>
          <w:rFonts w:cs="Times New Roman"/>
          <w:color w:val="000000" w:themeColor="text1"/>
          <w:sz w:val="22"/>
          <w:szCs w:val="22"/>
        </w:rPr>
        <w:fldChar w:fldCharType="begin"/>
      </w:r>
      <w:r w:rsidR="004971D7" w:rsidRPr="00852AD1">
        <w:rPr>
          <w:rFonts w:cs="Times New Roman"/>
          <w:color w:val="000000" w:themeColor="text1"/>
          <w:sz w:val="22"/>
          <w:szCs w:val="22"/>
        </w:rPr>
        <w:instrText xml:space="preserve"> ADDIN EN.CITE &lt;EndNote&gt;&lt;Cite&gt;&lt;Author&gt;Angrist&lt;/Author&gt;&lt;Year&gt;2009&lt;/Year&gt;&lt;RecNum&gt;156&lt;/RecNum&gt;&lt;DisplayText&gt;&lt;style face="superscript"&gt;10&lt;/style&gt;&lt;/DisplayText&gt;&lt;record&gt;&lt;rec-number&gt;156&lt;/rec-number&gt;&lt;foreign-keys&gt;&lt;key app="EN" db-id="9zs2wfp0csdv0me90er5wp0kwprdsrzz29v0" timestamp="1472576927"&gt;156&lt;/key&gt;&lt;/foreign-keys&gt;&lt;ref-type name="Book"&gt;6&lt;/ref-type&gt;&lt;contributors&gt;&lt;authors&gt;&lt;author&gt;Joshua D. Angrist&lt;/author&gt;&lt;author&gt;Jorn-Steffen Pischke&lt;/author&gt;&lt;/authors&gt;&lt;/contributors&gt;&lt;titles&gt;&lt;title&gt;Most Harmless Econometrics: An Empiricist&amp;apos;s Companion&lt;/title&gt;&lt;/titles&gt;&lt;dates&gt;&lt;year&gt;2009&lt;/year&gt;&lt;/dates&gt;&lt;pub-location&gt;Princeton, NJ&lt;/pub-location&gt;&lt;publisher&gt;Princeton University Press&lt;/publisher&gt;&lt;urls&gt;&lt;/urls&gt;&lt;/record&gt;&lt;/Cite&gt;&lt;/EndNote&gt;</w:instrText>
      </w:r>
      <w:r w:rsidRPr="00852AD1">
        <w:rPr>
          <w:rFonts w:cs="Times New Roman"/>
          <w:color w:val="000000" w:themeColor="text1"/>
          <w:sz w:val="22"/>
          <w:szCs w:val="22"/>
        </w:rPr>
        <w:fldChar w:fldCharType="separate"/>
      </w:r>
      <w:r w:rsidR="004971D7" w:rsidRPr="00852AD1">
        <w:rPr>
          <w:rFonts w:cs="Times New Roman"/>
          <w:noProof/>
          <w:color w:val="000000" w:themeColor="text1"/>
          <w:sz w:val="22"/>
          <w:szCs w:val="22"/>
          <w:vertAlign w:val="superscript"/>
        </w:rPr>
        <w:t>10</w:t>
      </w:r>
      <w:r w:rsidRPr="00852AD1">
        <w:rPr>
          <w:rFonts w:cs="Times New Roman"/>
          <w:color w:val="000000" w:themeColor="text1"/>
          <w:sz w:val="22"/>
          <w:szCs w:val="22"/>
        </w:rPr>
        <w:fldChar w:fldCharType="end"/>
      </w:r>
      <w:r w:rsidRPr="00852AD1">
        <w:rPr>
          <w:rFonts w:cs="Times New Roman"/>
          <w:color w:val="000000" w:themeColor="text1"/>
          <w:sz w:val="22"/>
          <w:szCs w:val="22"/>
        </w:rPr>
        <w:t xml:space="preserve"> </w:t>
      </w:r>
    </w:p>
    <w:p w14:paraId="0B4D9899" w14:textId="266F73B3" w:rsidR="0082611E" w:rsidRPr="00852AD1" w:rsidRDefault="00FF3B15" w:rsidP="0082611E">
      <w:pPr>
        <w:spacing w:line="480" w:lineRule="auto"/>
        <w:rPr>
          <w:color w:val="000000" w:themeColor="text1"/>
          <w:sz w:val="22"/>
          <w:szCs w:val="22"/>
        </w:rPr>
      </w:pPr>
      <w:r w:rsidRPr="00852AD1">
        <w:rPr>
          <w:color w:val="000000" w:themeColor="text1"/>
          <w:sz w:val="22"/>
          <w:szCs w:val="22"/>
        </w:rPr>
        <w:tab/>
      </w:r>
      <w:r w:rsidR="0082611E" w:rsidRPr="00852AD1">
        <w:rPr>
          <w:color w:val="000000" w:themeColor="text1"/>
          <w:sz w:val="22"/>
          <w:szCs w:val="22"/>
        </w:rPr>
        <w:t>Two crucial assumptions underlying out instrumental variables approach is that (a) our instrument is uncorrelated with unobservable factors that could be associated with patient outcomes (conditional on the other variables in our model) and (b) that our instrument has a strong association with whether</w:t>
      </w:r>
      <w:r w:rsidR="00A22117" w:rsidRPr="00852AD1">
        <w:rPr>
          <w:color w:val="000000" w:themeColor="text1"/>
          <w:sz w:val="22"/>
          <w:szCs w:val="22"/>
        </w:rPr>
        <w:t xml:space="preserve"> an AA is involved in the patient’s care.</w:t>
      </w:r>
      <w:r w:rsidR="0082611E" w:rsidRPr="00852AD1">
        <w:rPr>
          <w:color w:val="000000" w:themeColor="text1"/>
          <w:sz w:val="22"/>
          <w:szCs w:val="22"/>
        </w:rPr>
        <w:t xml:space="preserve"> While there is no way to statistically test the first assumption, it has face validity: it seems unlikely that higher-risk patients would be more likely to be scheduled on days when there are more AAs available to do cases.  Indeed, as previously mentioned, many of the factors that influence the number of AAs available to do cases—such as scheduling decisions and the legal environment—are decided well in advance of the give day of surgery.  Moreover, other factors that could influence the number of AAs available to do cases—such as illness—would also be highly unlikely to be correlated with factors that could influence the outcomes for an individual patient.</w:t>
      </w:r>
    </w:p>
    <w:p w14:paraId="3AE3ECB1" w14:textId="6AEAAC41" w:rsidR="0082611E" w:rsidRPr="00852AD1" w:rsidRDefault="0082611E" w:rsidP="0082611E">
      <w:pPr>
        <w:spacing w:line="480" w:lineRule="auto"/>
        <w:rPr>
          <w:color w:val="000000" w:themeColor="text1"/>
          <w:sz w:val="22"/>
          <w:szCs w:val="22"/>
        </w:rPr>
      </w:pPr>
      <w:r w:rsidRPr="00852AD1">
        <w:rPr>
          <w:color w:val="000000" w:themeColor="text1"/>
          <w:sz w:val="22"/>
          <w:szCs w:val="22"/>
        </w:rPr>
        <w:tab/>
        <w:t xml:space="preserve">The second assumption—that our instrument (the daily percentage of cases performed by AAs) be strongly correlated with whether the patient actually received care from an AA—also has face validity.  The requirement for a strong correlation between these two variables is important because if the two are only </w:t>
      </w:r>
      <w:r w:rsidRPr="00852AD1">
        <w:rPr>
          <w:i/>
          <w:color w:val="000000" w:themeColor="text1"/>
          <w:sz w:val="22"/>
          <w:szCs w:val="22"/>
        </w:rPr>
        <w:t>weakly</w:t>
      </w:r>
      <w:r w:rsidRPr="00852AD1">
        <w:rPr>
          <w:color w:val="000000" w:themeColor="text1"/>
          <w:sz w:val="22"/>
          <w:szCs w:val="22"/>
        </w:rPr>
        <w:t xml:space="preserve"> correlated, our instrumental variables approach could be biased </w:t>
      </w:r>
      <w:r w:rsidRPr="00852AD1">
        <w:rPr>
          <w:color w:val="000000" w:themeColor="text1"/>
          <w:sz w:val="22"/>
          <w:szCs w:val="22"/>
        </w:rPr>
        <w:fldChar w:fldCharType="begin"/>
      </w:r>
      <w:r w:rsidR="004971D7" w:rsidRPr="00852AD1">
        <w:rPr>
          <w:color w:val="000000" w:themeColor="text1"/>
          <w:sz w:val="22"/>
          <w:szCs w:val="22"/>
        </w:rPr>
        <w:instrText xml:space="preserve"> ADDIN EN.CITE &lt;EndNote&gt;&lt;Cite&gt;&lt;Author&gt;Stock&lt;/Author&gt;&lt;Year&gt;2005&lt;/Year&gt;&lt;RecNum&gt;587&lt;/RecNum&gt;&lt;DisplayText&gt;&lt;style face="superscript"&gt;11&lt;/style&gt;&lt;/DisplayText&gt;&lt;record&gt;&lt;rec-number&gt;587&lt;/rec-number&gt;&lt;foreign-keys&gt;&lt;key app="EN" db-id="9zs2wfp0csdv0me90er5wp0kwprdsrzz29v0" timestamp="1486535199"&gt;587&lt;/key&gt;&lt;/foreign-keys&gt;&lt;ref-type name="Book Section"&gt;5&lt;/ref-type&gt;&lt;contributors&gt;&lt;authors&gt;&lt;author&gt;J Stock&lt;/author&gt;&lt;author&gt;M Yogo&lt;/author&gt;&lt;/authors&gt;&lt;secondary-authors&gt;&lt;author&gt;DWK Andrews&lt;/author&gt;&lt;/secondary-authors&gt;&lt;/contributors&gt;&lt;titles&gt;&lt;title&gt;Testing for Weak Instruments in Linear IV Regression. &lt;/title&gt;&lt;secondary-title&gt;Identification and Inference for Econometric Models&lt;/secondary-title&gt;&lt;/titles&gt;&lt;pages&gt;80-108&lt;/pages&gt;&lt;dates&gt;&lt;year&gt;2005&lt;/year&gt;&lt;/dates&gt;&lt;pub-location&gt;New York&lt;/pub-location&gt;&lt;publisher&gt;Cambridge University Press&lt;/publisher&gt;&lt;urls&gt;&lt;/urls&gt;&lt;/record&gt;&lt;/Cite&gt;&lt;/EndNote&gt;</w:instrText>
      </w:r>
      <w:r w:rsidRPr="00852AD1">
        <w:rPr>
          <w:color w:val="000000" w:themeColor="text1"/>
          <w:sz w:val="22"/>
          <w:szCs w:val="22"/>
        </w:rPr>
        <w:fldChar w:fldCharType="separate"/>
      </w:r>
      <w:r w:rsidR="004971D7" w:rsidRPr="00852AD1">
        <w:rPr>
          <w:noProof/>
          <w:color w:val="000000" w:themeColor="text1"/>
          <w:sz w:val="22"/>
          <w:szCs w:val="22"/>
          <w:vertAlign w:val="superscript"/>
        </w:rPr>
        <w:t>11</w:t>
      </w:r>
      <w:r w:rsidRPr="00852AD1">
        <w:rPr>
          <w:color w:val="000000" w:themeColor="text1"/>
          <w:sz w:val="22"/>
          <w:szCs w:val="22"/>
        </w:rPr>
        <w:fldChar w:fldCharType="end"/>
      </w:r>
      <w:r w:rsidRPr="00852AD1">
        <w:rPr>
          <w:color w:val="000000" w:themeColor="text1"/>
          <w:sz w:val="22"/>
          <w:szCs w:val="22"/>
        </w:rPr>
        <w:t xml:space="preserve">.   Here, there are formal statistical tests to test the association between our instrument and whether the patient </w:t>
      </w:r>
      <w:r w:rsidRPr="00852AD1">
        <w:rPr>
          <w:color w:val="000000" w:themeColor="text1"/>
          <w:sz w:val="22"/>
          <w:szCs w:val="22"/>
        </w:rPr>
        <w:lastRenderedPageBreak/>
        <w:t xml:space="preserve">actually received care from an AA; these tests are based on the F-statistic from equation (1) </w:t>
      </w:r>
      <w:r w:rsidRPr="00852AD1">
        <w:rPr>
          <w:color w:val="000000" w:themeColor="text1"/>
          <w:sz w:val="22"/>
          <w:szCs w:val="22"/>
        </w:rPr>
        <w:fldChar w:fldCharType="begin"/>
      </w:r>
      <w:r w:rsidR="004971D7" w:rsidRPr="00852AD1">
        <w:rPr>
          <w:color w:val="000000" w:themeColor="text1"/>
          <w:sz w:val="22"/>
          <w:szCs w:val="22"/>
        </w:rPr>
        <w:instrText xml:space="preserve"> ADDIN EN.CITE &lt;EndNote&gt;&lt;Cite&gt;&lt;Author&gt;Stock&lt;/Author&gt;&lt;Year&gt;2005&lt;/Year&gt;&lt;RecNum&gt;587&lt;/RecNum&gt;&lt;DisplayText&gt;&lt;style face="superscript"&gt;11&lt;/style&gt;&lt;/DisplayText&gt;&lt;record&gt;&lt;rec-number&gt;587&lt;/rec-number&gt;&lt;foreign-keys&gt;&lt;key app="EN" db-id="9zs2wfp0csdv0me90er5wp0kwprdsrzz29v0" timestamp="1486535199"&gt;587&lt;/key&gt;&lt;/foreign-keys&gt;&lt;ref-type name="Book Section"&gt;5&lt;/ref-type&gt;&lt;contributors&gt;&lt;authors&gt;&lt;author&gt;J Stock&lt;/author&gt;&lt;author&gt;M Yogo&lt;/author&gt;&lt;/authors&gt;&lt;secondary-authors&gt;&lt;author&gt;DWK Andrews&lt;/author&gt;&lt;/secondary-authors&gt;&lt;/contributors&gt;&lt;titles&gt;&lt;title&gt;Testing for Weak Instruments in Linear IV Regression. &lt;/title&gt;&lt;secondary-title&gt;Identification and Inference for Econometric Models&lt;/secondary-title&gt;&lt;/titles&gt;&lt;pages&gt;80-108&lt;/pages&gt;&lt;dates&gt;&lt;year&gt;2005&lt;/year&gt;&lt;/dates&gt;&lt;pub-location&gt;New York&lt;/pub-location&gt;&lt;publisher&gt;Cambridge University Press&lt;/publisher&gt;&lt;urls&gt;&lt;/urls&gt;&lt;/record&gt;&lt;/Cite&gt;&lt;/EndNote&gt;</w:instrText>
      </w:r>
      <w:r w:rsidRPr="00852AD1">
        <w:rPr>
          <w:color w:val="000000" w:themeColor="text1"/>
          <w:sz w:val="22"/>
          <w:szCs w:val="22"/>
        </w:rPr>
        <w:fldChar w:fldCharType="separate"/>
      </w:r>
      <w:r w:rsidR="004971D7" w:rsidRPr="00852AD1">
        <w:rPr>
          <w:noProof/>
          <w:color w:val="000000" w:themeColor="text1"/>
          <w:sz w:val="22"/>
          <w:szCs w:val="22"/>
          <w:vertAlign w:val="superscript"/>
        </w:rPr>
        <w:t>11</w:t>
      </w:r>
      <w:r w:rsidRPr="00852AD1">
        <w:rPr>
          <w:color w:val="000000" w:themeColor="text1"/>
          <w:sz w:val="22"/>
          <w:szCs w:val="22"/>
        </w:rPr>
        <w:fldChar w:fldCharType="end"/>
      </w:r>
      <w:r w:rsidRPr="00852AD1">
        <w:rPr>
          <w:color w:val="000000" w:themeColor="text1"/>
          <w:sz w:val="22"/>
          <w:szCs w:val="22"/>
        </w:rPr>
        <w:t xml:space="preserve">. The F-statistic from equation (1) was </w:t>
      </w:r>
      <w:r w:rsidR="0092274E">
        <w:rPr>
          <w:color w:val="000000" w:themeColor="text1"/>
          <w:sz w:val="22"/>
          <w:szCs w:val="22"/>
        </w:rPr>
        <w:t>2,783</w:t>
      </w:r>
      <w:r w:rsidRPr="00852AD1">
        <w:rPr>
          <w:color w:val="000000" w:themeColor="text1"/>
          <w:sz w:val="22"/>
          <w:szCs w:val="22"/>
          <w:vertAlign w:val="superscript"/>
        </w:rPr>
        <w:t xml:space="preserve"> </w:t>
      </w:r>
      <w:r w:rsidRPr="00852AD1">
        <w:rPr>
          <w:color w:val="000000" w:themeColor="text1"/>
          <w:sz w:val="22"/>
          <w:szCs w:val="22"/>
        </w:rPr>
        <w:t xml:space="preserve">(see </w:t>
      </w:r>
      <w:r w:rsidRPr="00852AD1">
        <w:rPr>
          <w:b/>
          <w:color w:val="000000" w:themeColor="text1"/>
          <w:sz w:val="22"/>
          <w:szCs w:val="22"/>
        </w:rPr>
        <w:t>Table A.1</w:t>
      </w:r>
      <w:r w:rsidRPr="00852AD1">
        <w:rPr>
          <w:color w:val="000000" w:themeColor="text1"/>
          <w:sz w:val="22"/>
          <w:szCs w:val="22"/>
        </w:rPr>
        <w:t xml:space="preserve">), which is well in excess of the critical values for all the tests for a weak correlation between our instrument and whether the patient actually received care from an AA.  Accordingly, we can easily reject the null hypothesis of a weak correlation between our instrument and whether the patient actually received care from an AA.  </w:t>
      </w:r>
    </w:p>
    <w:p w14:paraId="54FC1B3B" w14:textId="54D6C22A" w:rsidR="0082611E" w:rsidRPr="00852AD1" w:rsidRDefault="0082611E" w:rsidP="0082611E">
      <w:pPr>
        <w:spacing w:line="480" w:lineRule="auto"/>
        <w:rPr>
          <w:color w:val="000000" w:themeColor="text1"/>
          <w:sz w:val="22"/>
          <w:szCs w:val="22"/>
        </w:rPr>
      </w:pPr>
      <w:r w:rsidRPr="00852AD1">
        <w:rPr>
          <w:color w:val="000000" w:themeColor="text1"/>
          <w:sz w:val="22"/>
          <w:szCs w:val="22"/>
        </w:rPr>
        <w:tab/>
        <w:t xml:space="preserve">The results of our main regressions are shown in </w:t>
      </w:r>
      <w:r w:rsidRPr="00852AD1">
        <w:rPr>
          <w:b/>
          <w:color w:val="000000" w:themeColor="text1"/>
          <w:sz w:val="22"/>
          <w:szCs w:val="22"/>
        </w:rPr>
        <w:t>Table A.2</w:t>
      </w:r>
      <w:r w:rsidRPr="00852AD1">
        <w:rPr>
          <w:color w:val="000000" w:themeColor="text1"/>
          <w:sz w:val="22"/>
          <w:szCs w:val="22"/>
        </w:rPr>
        <w:t xml:space="preserve">. In this table we display the regression coefficients for our instrumented independent variable of interest—an indicator of whether or not an AA provided care—as well as the regression constant. Coefficients </w:t>
      </w:r>
      <w:r w:rsidRPr="00852AD1">
        <w:rPr>
          <w:sz w:val="22"/>
          <w:szCs w:val="22"/>
        </w:rPr>
        <w:t xml:space="preserve">for the year effects for years 2004-2011, age controls, procedure effects, hospital fixed effects, and the patient characteristics listed in </w:t>
      </w:r>
      <w:r w:rsidRPr="00852AD1">
        <w:rPr>
          <w:b/>
          <w:sz w:val="22"/>
          <w:szCs w:val="22"/>
        </w:rPr>
        <w:t>Table A.2</w:t>
      </w:r>
      <w:r w:rsidRPr="00852AD1">
        <w:rPr>
          <w:sz w:val="22"/>
          <w:szCs w:val="22"/>
        </w:rPr>
        <w:t xml:space="preserve"> are available from the authors on request. The results from the first column suggest that AA</w:t>
      </w:r>
      <w:r w:rsidR="003A12F3">
        <w:rPr>
          <w:sz w:val="22"/>
          <w:szCs w:val="22"/>
        </w:rPr>
        <w:t xml:space="preserve"> care is associated with a 0.08</w:t>
      </w:r>
      <w:r w:rsidRPr="00852AD1">
        <w:rPr>
          <w:sz w:val="22"/>
          <w:szCs w:val="22"/>
        </w:rPr>
        <w:t xml:space="preserve"> absolute (percentage point) reduction in inpatient mortality, compared to NA care, although this difference is sta</w:t>
      </w:r>
      <w:r w:rsidR="0051031C">
        <w:rPr>
          <w:sz w:val="22"/>
          <w:szCs w:val="22"/>
        </w:rPr>
        <w:t>tistically insignificant (p=0.47</w:t>
      </w:r>
      <w:r w:rsidRPr="00852AD1">
        <w:rPr>
          <w:sz w:val="22"/>
          <w:szCs w:val="22"/>
        </w:rPr>
        <w:t>). In column (2), we present the results from a regression of inpatient length of stay on our instrument for AA care. The provision of AA car</w:t>
      </w:r>
      <w:r w:rsidR="0051031C">
        <w:rPr>
          <w:sz w:val="22"/>
          <w:szCs w:val="22"/>
        </w:rPr>
        <w:t>e is associated with a 0.009</w:t>
      </w:r>
      <w:r w:rsidRPr="00852AD1">
        <w:rPr>
          <w:sz w:val="22"/>
          <w:szCs w:val="22"/>
        </w:rPr>
        <w:t xml:space="preserve"> reduction in inpatient length of stay measured in days, although this effect is also sta</w:t>
      </w:r>
      <w:r w:rsidR="00287102">
        <w:rPr>
          <w:sz w:val="22"/>
          <w:szCs w:val="22"/>
        </w:rPr>
        <w:t>tistically insignificant (p=0.89</w:t>
      </w:r>
      <w:r w:rsidRPr="00852AD1">
        <w:rPr>
          <w:sz w:val="22"/>
          <w:szCs w:val="22"/>
        </w:rPr>
        <w:t xml:space="preserve">). Finally, in column (3) our dependent variable is inpatient spending. Here it can be seen that AA care </w:t>
      </w:r>
      <w:r w:rsidR="00287102">
        <w:rPr>
          <w:sz w:val="22"/>
          <w:szCs w:val="22"/>
        </w:rPr>
        <w:t>was associated with a $59</w:t>
      </w:r>
      <w:r w:rsidRPr="00852AD1">
        <w:rPr>
          <w:sz w:val="22"/>
          <w:szCs w:val="22"/>
        </w:rPr>
        <w:t xml:space="preserve"> reduction in inpatient spending, but this effect is also sta</w:t>
      </w:r>
      <w:r w:rsidR="00287102">
        <w:rPr>
          <w:sz w:val="22"/>
          <w:szCs w:val="22"/>
        </w:rPr>
        <w:t>tistically insignificant (p=0.70</w:t>
      </w:r>
      <w:r w:rsidRPr="00852AD1">
        <w:rPr>
          <w:sz w:val="22"/>
          <w:szCs w:val="22"/>
        </w:rPr>
        <w:t xml:space="preserve">). </w:t>
      </w:r>
    </w:p>
    <w:p w14:paraId="66AD884A" w14:textId="77777777" w:rsidR="0082611E" w:rsidRPr="00852AD1" w:rsidRDefault="0082611E" w:rsidP="0082611E">
      <w:pPr>
        <w:spacing w:after="160" w:line="259" w:lineRule="auto"/>
        <w:rPr>
          <w:color w:val="000000" w:themeColor="text1"/>
          <w:sz w:val="22"/>
          <w:szCs w:val="22"/>
        </w:rPr>
      </w:pPr>
      <w:r w:rsidRPr="00852AD1">
        <w:rPr>
          <w:color w:val="000000" w:themeColor="text1"/>
          <w:sz w:val="22"/>
          <w:szCs w:val="22"/>
        </w:rPr>
        <w:br w:type="page"/>
      </w:r>
    </w:p>
    <w:p w14:paraId="2A526144" w14:textId="0C85FA3D" w:rsidR="0082611E" w:rsidRPr="00852AD1" w:rsidRDefault="0082611E" w:rsidP="0082611E">
      <w:pPr>
        <w:rPr>
          <w:b/>
          <w:sz w:val="22"/>
          <w:szCs w:val="22"/>
        </w:rPr>
      </w:pPr>
      <w:r w:rsidRPr="00852AD1">
        <w:rPr>
          <w:b/>
          <w:sz w:val="22"/>
          <w:szCs w:val="22"/>
        </w:rPr>
        <w:lastRenderedPageBreak/>
        <w:t>Table A.1:</w:t>
      </w:r>
      <w:r w:rsidR="00BF2FD9" w:rsidRPr="00852AD1">
        <w:rPr>
          <w:b/>
          <w:sz w:val="22"/>
          <w:szCs w:val="22"/>
        </w:rPr>
        <w:t xml:space="preserve"> AA Involvement</w:t>
      </w:r>
      <w:r w:rsidRPr="00852AD1">
        <w:rPr>
          <w:b/>
          <w:sz w:val="22"/>
          <w:szCs w:val="22"/>
        </w:rPr>
        <w:t xml:space="preserve"> and Daily Share of Cases, 2004-2011 (First-Stage Regression Results)</w:t>
      </w:r>
    </w:p>
    <w:p w14:paraId="356A3423" w14:textId="77777777" w:rsidR="0082611E" w:rsidRPr="00852AD1" w:rsidRDefault="0082611E" w:rsidP="0082611E">
      <w:pPr>
        <w:rPr>
          <w:b/>
          <w:sz w:val="22"/>
          <w:szCs w:val="22"/>
        </w:rPr>
      </w:pPr>
    </w:p>
    <w:tbl>
      <w:tblPr>
        <w:tblStyle w:val="TableGrid"/>
        <w:tblW w:w="2495" w:type="pct"/>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ook w:val="04A0" w:firstRow="1" w:lastRow="0" w:firstColumn="1" w:lastColumn="0" w:noHBand="0" w:noVBand="1"/>
      </w:tblPr>
      <w:tblGrid>
        <w:gridCol w:w="2447"/>
        <w:gridCol w:w="2209"/>
      </w:tblGrid>
      <w:tr w:rsidR="0082611E" w:rsidRPr="00852AD1" w14:paraId="0E8114CD" w14:textId="77777777" w:rsidTr="00487F71">
        <w:trPr>
          <w:trHeight w:val="193"/>
        </w:trPr>
        <w:tc>
          <w:tcPr>
            <w:tcW w:w="2628" w:type="pct"/>
          </w:tcPr>
          <w:p w14:paraId="465EF2AA" w14:textId="77777777" w:rsidR="0082611E" w:rsidRPr="00852AD1" w:rsidRDefault="0082611E" w:rsidP="006A5570">
            <w:pPr>
              <w:rPr>
                <w:b/>
                <w:color w:val="000000" w:themeColor="text1"/>
              </w:rPr>
            </w:pPr>
          </w:p>
        </w:tc>
        <w:tc>
          <w:tcPr>
            <w:tcW w:w="2372" w:type="pct"/>
          </w:tcPr>
          <w:p w14:paraId="43903654" w14:textId="77777777" w:rsidR="0082611E" w:rsidRPr="00852AD1" w:rsidRDefault="0082611E" w:rsidP="006A5570">
            <w:pPr>
              <w:jc w:val="center"/>
              <w:rPr>
                <w:b/>
                <w:color w:val="000000" w:themeColor="text1"/>
              </w:rPr>
            </w:pPr>
            <w:r w:rsidRPr="00852AD1">
              <w:rPr>
                <w:color w:val="000000" w:themeColor="text1"/>
              </w:rPr>
              <w:t>AA Care</w:t>
            </w:r>
          </w:p>
        </w:tc>
      </w:tr>
      <w:tr w:rsidR="0082611E" w:rsidRPr="00852AD1" w14:paraId="40958D34" w14:textId="77777777" w:rsidTr="00487F71">
        <w:trPr>
          <w:trHeight w:val="582"/>
        </w:trPr>
        <w:tc>
          <w:tcPr>
            <w:tcW w:w="2628" w:type="pct"/>
          </w:tcPr>
          <w:p w14:paraId="0907BF9D" w14:textId="77777777" w:rsidR="0082611E" w:rsidRPr="00852AD1" w:rsidRDefault="0082611E" w:rsidP="006A5570">
            <w:pPr>
              <w:rPr>
                <w:color w:val="000000" w:themeColor="text1"/>
              </w:rPr>
            </w:pPr>
            <w:r w:rsidRPr="00852AD1">
              <w:rPr>
                <w:color w:val="000000" w:themeColor="text1"/>
              </w:rPr>
              <w:t>Share of Cases (%)</w:t>
            </w:r>
          </w:p>
        </w:tc>
        <w:tc>
          <w:tcPr>
            <w:tcW w:w="2372" w:type="pct"/>
            <w:vAlign w:val="center"/>
          </w:tcPr>
          <w:p w14:paraId="094E93EC" w14:textId="46F1B973" w:rsidR="0082611E" w:rsidRPr="00852AD1" w:rsidRDefault="00532035" w:rsidP="006A5570">
            <w:pPr>
              <w:jc w:val="center"/>
              <w:rPr>
                <w:color w:val="000000" w:themeColor="text1"/>
              </w:rPr>
            </w:pPr>
            <w:r w:rsidRPr="00852AD1">
              <w:rPr>
                <w:color w:val="000000" w:themeColor="text1"/>
              </w:rPr>
              <w:t>1.00</w:t>
            </w:r>
          </w:p>
          <w:p w14:paraId="268D8CD1" w14:textId="5A21D0F6" w:rsidR="0082611E" w:rsidRPr="00852AD1" w:rsidRDefault="00487F71" w:rsidP="006A5570">
            <w:pPr>
              <w:jc w:val="center"/>
              <w:rPr>
                <w:color w:val="000000" w:themeColor="text1"/>
              </w:rPr>
            </w:pPr>
            <w:r>
              <w:rPr>
                <w:color w:val="000000" w:themeColor="text1"/>
              </w:rPr>
              <w:t>(0.00079</w:t>
            </w:r>
            <w:r w:rsidR="00FB046D" w:rsidRPr="00852AD1">
              <w:rPr>
                <w:color w:val="000000" w:themeColor="text1"/>
              </w:rPr>
              <w:t>)</w:t>
            </w:r>
            <w:r w:rsidR="0082611E" w:rsidRPr="00852AD1">
              <w:rPr>
                <w:color w:val="000000" w:themeColor="text1"/>
              </w:rPr>
              <w:t>)</w:t>
            </w:r>
          </w:p>
          <w:p w14:paraId="1F5FFDBA" w14:textId="77777777" w:rsidR="0082611E" w:rsidRPr="00852AD1" w:rsidRDefault="0082611E" w:rsidP="006A5570">
            <w:pPr>
              <w:jc w:val="center"/>
              <w:rPr>
                <w:color w:val="000000" w:themeColor="text1"/>
              </w:rPr>
            </w:pPr>
            <w:r w:rsidRPr="00852AD1">
              <w:rPr>
                <w:color w:val="000000" w:themeColor="text1"/>
              </w:rPr>
              <w:t>p&lt;0.001</w:t>
            </w:r>
          </w:p>
        </w:tc>
      </w:tr>
      <w:tr w:rsidR="0082611E" w:rsidRPr="00852AD1" w14:paraId="0E7A75B1" w14:textId="77777777" w:rsidTr="00487F71">
        <w:trPr>
          <w:trHeight w:val="546"/>
        </w:trPr>
        <w:tc>
          <w:tcPr>
            <w:tcW w:w="2628" w:type="pct"/>
          </w:tcPr>
          <w:p w14:paraId="4456EC6A" w14:textId="77777777" w:rsidR="0082611E" w:rsidRPr="00852AD1" w:rsidRDefault="0082611E" w:rsidP="006A5570">
            <w:pPr>
              <w:rPr>
                <w:color w:val="000000" w:themeColor="text1"/>
              </w:rPr>
            </w:pPr>
            <w:r w:rsidRPr="00852AD1">
              <w:rPr>
                <w:color w:val="000000" w:themeColor="text1"/>
              </w:rPr>
              <w:t>Constant</w:t>
            </w:r>
          </w:p>
        </w:tc>
        <w:tc>
          <w:tcPr>
            <w:tcW w:w="2372" w:type="pct"/>
            <w:vAlign w:val="center"/>
          </w:tcPr>
          <w:p w14:paraId="55B88742" w14:textId="33047934" w:rsidR="0082611E" w:rsidRPr="00852AD1" w:rsidRDefault="00E439E0" w:rsidP="006A5570">
            <w:pPr>
              <w:jc w:val="center"/>
              <w:rPr>
                <w:color w:val="000000" w:themeColor="text1"/>
              </w:rPr>
            </w:pPr>
            <w:r>
              <w:rPr>
                <w:color w:val="000000" w:themeColor="text1"/>
              </w:rPr>
              <w:t>0.00034</w:t>
            </w:r>
          </w:p>
          <w:p w14:paraId="2329C645" w14:textId="729D761D" w:rsidR="0082611E" w:rsidRPr="00852AD1" w:rsidRDefault="00E439E0" w:rsidP="006A5570">
            <w:pPr>
              <w:jc w:val="center"/>
              <w:rPr>
                <w:color w:val="000000" w:themeColor="text1"/>
              </w:rPr>
            </w:pPr>
            <w:r>
              <w:rPr>
                <w:color w:val="000000" w:themeColor="text1"/>
              </w:rPr>
              <w:t>(0.0028</w:t>
            </w:r>
            <w:r w:rsidR="0082611E" w:rsidRPr="00852AD1">
              <w:rPr>
                <w:color w:val="000000" w:themeColor="text1"/>
              </w:rPr>
              <w:t>)</w:t>
            </w:r>
          </w:p>
          <w:p w14:paraId="14A80FFF" w14:textId="01BDF3F8" w:rsidR="0082611E" w:rsidRPr="00852AD1" w:rsidRDefault="0082611E" w:rsidP="006A5570">
            <w:pPr>
              <w:jc w:val="center"/>
              <w:rPr>
                <w:color w:val="000000" w:themeColor="text1"/>
              </w:rPr>
            </w:pPr>
            <w:r w:rsidRPr="00852AD1">
              <w:rPr>
                <w:color w:val="000000" w:themeColor="text1"/>
              </w:rPr>
              <w:t>p=0.</w:t>
            </w:r>
            <w:r w:rsidR="00E439E0">
              <w:rPr>
                <w:color w:val="000000" w:themeColor="text1"/>
              </w:rPr>
              <w:t>90</w:t>
            </w:r>
          </w:p>
        </w:tc>
      </w:tr>
      <w:tr w:rsidR="0082611E" w:rsidRPr="00852AD1" w14:paraId="0BFD77AD" w14:textId="77777777" w:rsidTr="00487F71">
        <w:trPr>
          <w:trHeight w:val="546"/>
        </w:trPr>
        <w:tc>
          <w:tcPr>
            <w:tcW w:w="2628" w:type="pct"/>
            <w:tcBorders>
              <w:bottom w:val="single" w:sz="6" w:space="0" w:color="auto"/>
            </w:tcBorders>
            <w:vAlign w:val="center"/>
          </w:tcPr>
          <w:p w14:paraId="0B01C8CB" w14:textId="77777777" w:rsidR="0082611E" w:rsidRPr="00852AD1" w:rsidRDefault="0082611E" w:rsidP="006A5570">
            <w:pPr>
              <w:rPr>
                <w:color w:val="000000" w:themeColor="text1"/>
              </w:rPr>
            </w:pPr>
            <w:r w:rsidRPr="00852AD1">
              <w:rPr>
                <w:color w:val="000000" w:themeColor="text1"/>
              </w:rPr>
              <w:t>F-statistic</w:t>
            </w:r>
          </w:p>
        </w:tc>
        <w:tc>
          <w:tcPr>
            <w:tcW w:w="2372" w:type="pct"/>
            <w:tcBorders>
              <w:bottom w:val="single" w:sz="6" w:space="0" w:color="auto"/>
            </w:tcBorders>
            <w:vAlign w:val="center"/>
          </w:tcPr>
          <w:p w14:paraId="5E80BDC8" w14:textId="7A1F55C7" w:rsidR="0082611E" w:rsidRPr="00852AD1" w:rsidRDefault="00532035" w:rsidP="006A5570">
            <w:pPr>
              <w:jc w:val="center"/>
              <w:rPr>
                <w:color w:val="000000" w:themeColor="text1"/>
                <w:vertAlign w:val="superscript"/>
              </w:rPr>
            </w:pPr>
            <w:r w:rsidRPr="00852AD1">
              <w:rPr>
                <w:color w:val="000000" w:themeColor="text1"/>
              </w:rPr>
              <w:t>2,7</w:t>
            </w:r>
            <w:r w:rsidR="00E439E0">
              <w:rPr>
                <w:color w:val="000000" w:themeColor="text1"/>
              </w:rPr>
              <w:t>83</w:t>
            </w:r>
          </w:p>
        </w:tc>
      </w:tr>
      <w:tr w:rsidR="0082611E" w:rsidRPr="00852AD1" w14:paraId="3014E2BE" w14:textId="77777777" w:rsidTr="00487F71">
        <w:trPr>
          <w:trHeight w:val="546"/>
        </w:trPr>
        <w:tc>
          <w:tcPr>
            <w:tcW w:w="2628" w:type="pct"/>
            <w:tcBorders>
              <w:top w:val="single" w:sz="6" w:space="0" w:color="auto"/>
              <w:bottom w:val="single" w:sz="6" w:space="0" w:color="auto"/>
            </w:tcBorders>
            <w:vAlign w:val="center"/>
          </w:tcPr>
          <w:p w14:paraId="15E4EF68" w14:textId="77777777" w:rsidR="0082611E" w:rsidRPr="00852AD1" w:rsidRDefault="0082611E" w:rsidP="006A5570">
            <w:pPr>
              <w:rPr>
                <w:color w:val="000000" w:themeColor="text1"/>
              </w:rPr>
            </w:pPr>
            <w:r w:rsidRPr="00852AD1">
              <w:rPr>
                <w:color w:val="000000" w:themeColor="text1"/>
              </w:rPr>
              <w:t>R-squared</w:t>
            </w:r>
          </w:p>
        </w:tc>
        <w:tc>
          <w:tcPr>
            <w:tcW w:w="2372" w:type="pct"/>
            <w:tcBorders>
              <w:top w:val="single" w:sz="6" w:space="0" w:color="auto"/>
              <w:bottom w:val="single" w:sz="6" w:space="0" w:color="auto"/>
            </w:tcBorders>
            <w:vAlign w:val="center"/>
          </w:tcPr>
          <w:p w14:paraId="0AC12E2B" w14:textId="4839B7C2" w:rsidR="0082611E" w:rsidRPr="00852AD1" w:rsidRDefault="0082611E" w:rsidP="006A5570">
            <w:pPr>
              <w:jc w:val="center"/>
              <w:rPr>
                <w:color w:val="000000" w:themeColor="text1"/>
              </w:rPr>
            </w:pPr>
            <w:r w:rsidRPr="00852AD1">
              <w:rPr>
                <w:color w:val="000000" w:themeColor="text1"/>
              </w:rPr>
              <w:t>0.8</w:t>
            </w:r>
            <w:r w:rsidR="00487F71">
              <w:rPr>
                <w:color w:val="000000" w:themeColor="text1"/>
              </w:rPr>
              <w:t>9</w:t>
            </w:r>
          </w:p>
        </w:tc>
      </w:tr>
      <w:tr w:rsidR="0082611E" w:rsidRPr="00852AD1" w14:paraId="23C3FFC6" w14:textId="77777777" w:rsidTr="00487F71">
        <w:trPr>
          <w:trHeight w:val="546"/>
        </w:trPr>
        <w:tc>
          <w:tcPr>
            <w:tcW w:w="2628" w:type="pct"/>
            <w:tcBorders>
              <w:top w:val="single" w:sz="6" w:space="0" w:color="auto"/>
              <w:bottom w:val="double" w:sz="4" w:space="0" w:color="auto"/>
              <w:right w:val="single" w:sz="6" w:space="0" w:color="auto"/>
            </w:tcBorders>
            <w:vAlign w:val="center"/>
          </w:tcPr>
          <w:p w14:paraId="2C4B5290" w14:textId="77777777" w:rsidR="0082611E" w:rsidRPr="00852AD1" w:rsidRDefault="0082611E" w:rsidP="006A5570">
            <w:pPr>
              <w:rPr>
                <w:color w:val="000000" w:themeColor="text1"/>
              </w:rPr>
            </w:pPr>
            <w:r w:rsidRPr="00852AD1">
              <w:rPr>
                <w:color w:val="000000" w:themeColor="text1"/>
              </w:rPr>
              <w:t>N</w:t>
            </w:r>
          </w:p>
        </w:tc>
        <w:tc>
          <w:tcPr>
            <w:tcW w:w="2372" w:type="pct"/>
            <w:tcBorders>
              <w:top w:val="single" w:sz="6" w:space="0" w:color="auto"/>
              <w:left w:val="single" w:sz="6" w:space="0" w:color="auto"/>
              <w:bottom w:val="double" w:sz="4" w:space="0" w:color="auto"/>
            </w:tcBorders>
            <w:vAlign w:val="center"/>
          </w:tcPr>
          <w:p w14:paraId="60AB3959" w14:textId="708F7B42" w:rsidR="0082611E" w:rsidRPr="00852AD1" w:rsidRDefault="00487F71" w:rsidP="006A5570">
            <w:pPr>
              <w:jc w:val="center"/>
              <w:rPr>
                <w:color w:val="000000" w:themeColor="text1"/>
              </w:rPr>
            </w:pPr>
            <w:r>
              <w:rPr>
                <w:color w:val="000000" w:themeColor="text1"/>
              </w:rPr>
              <w:t>443,098</w:t>
            </w:r>
          </w:p>
        </w:tc>
      </w:tr>
    </w:tbl>
    <w:p w14:paraId="31380CBF" w14:textId="77777777" w:rsidR="0082611E" w:rsidRPr="00852AD1" w:rsidRDefault="0082611E" w:rsidP="0082611E">
      <w:pPr>
        <w:spacing w:line="480" w:lineRule="auto"/>
        <w:rPr>
          <w:i/>
          <w:sz w:val="22"/>
          <w:szCs w:val="22"/>
        </w:rPr>
      </w:pPr>
    </w:p>
    <w:p w14:paraId="4E4DCF9B" w14:textId="45F23222" w:rsidR="0082611E" w:rsidRPr="00852AD1" w:rsidRDefault="0082611E" w:rsidP="0082611E">
      <w:pPr>
        <w:spacing w:line="480" w:lineRule="auto"/>
        <w:rPr>
          <w:sz w:val="22"/>
          <w:szCs w:val="22"/>
        </w:rPr>
      </w:pPr>
      <w:r w:rsidRPr="00852AD1">
        <w:rPr>
          <w:i/>
          <w:sz w:val="22"/>
          <w:szCs w:val="22"/>
        </w:rPr>
        <w:t>Notes:</w:t>
      </w:r>
      <w:r w:rsidRPr="00852AD1">
        <w:rPr>
          <w:sz w:val="22"/>
          <w:szCs w:val="22"/>
        </w:rPr>
        <w:t xml:space="preserve"> Table A.1 shows the results of our first stage regression using two </w:t>
      </w:r>
      <w:proofErr w:type="gramStart"/>
      <w:r w:rsidRPr="00852AD1">
        <w:rPr>
          <w:sz w:val="22"/>
          <w:szCs w:val="22"/>
        </w:rPr>
        <w:t>stage</w:t>
      </w:r>
      <w:proofErr w:type="gramEnd"/>
      <w:r w:rsidRPr="00852AD1">
        <w:rPr>
          <w:sz w:val="22"/>
          <w:szCs w:val="22"/>
        </w:rPr>
        <w:t xml:space="preserve"> least squares estimation. Regression coefficients are shown together with standard errors that are clustered at the hospital level (in parentheses) as well as p-values. We do not show coefficients for the year effects for years 2004-2011, age controls, procedure effects, hospital fixed effects, and the patient characteristics listed in Table 1. These are available from the authors on request. The table shows the results of a regression in which the dependent variable is the daily percentage of cases </w:t>
      </w:r>
      <w:r w:rsidRPr="00852AD1">
        <w:rPr>
          <w:rFonts w:cs="Times New Roman"/>
          <w:sz w:val="22"/>
          <w:szCs w:val="22"/>
        </w:rPr>
        <w:t>performed by AAs</w:t>
      </w:r>
      <w:r w:rsidRPr="00852AD1">
        <w:rPr>
          <w:sz w:val="22"/>
          <w:szCs w:val="22"/>
        </w:rPr>
        <w:t xml:space="preserve"> and the independent variable is whether an AA </w:t>
      </w:r>
      <w:r w:rsidR="00532035" w:rsidRPr="00852AD1">
        <w:rPr>
          <w:sz w:val="22"/>
          <w:szCs w:val="22"/>
        </w:rPr>
        <w:t>was involved in the patient’s care</w:t>
      </w:r>
      <w:r w:rsidRPr="00852AD1">
        <w:rPr>
          <w:sz w:val="22"/>
          <w:szCs w:val="22"/>
        </w:rPr>
        <w:t xml:space="preserve">. </w:t>
      </w:r>
    </w:p>
    <w:p w14:paraId="1A224D72" w14:textId="77777777" w:rsidR="0082611E" w:rsidRPr="00852AD1" w:rsidRDefault="0082611E" w:rsidP="0082611E">
      <w:pPr>
        <w:spacing w:line="480" w:lineRule="auto"/>
        <w:rPr>
          <w:color w:val="000000" w:themeColor="text1"/>
          <w:sz w:val="22"/>
          <w:szCs w:val="22"/>
        </w:rPr>
      </w:pPr>
    </w:p>
    <w:p w14:paraId="3101C39D" w14:textId="77777777" w:rsidR="0082611E" w:rsidRPr="00852AD1" w:rsidRDefault="0082611E" w:rsidP="0082611E">
      <w:pPr>
        <w:spacing w:after="160" w:line="259" w:lineRule="auto"/>
        <w:rPr>
          <w:sz w:val="22"/>
          <w:szCs w:val="22"/>
        </w:rPr>
      </w:pPr>
      <w:r w:rsidRPr="00852AD1">
        <w:rPr>
          <w:sz w:val="22"/>
          <w:szCs w:val="22"/>
        </w:rPr>
        <w:br w:type="page"/>
      </w:r>
    </w:p>
    <w:p w14:paraId="2BBA3687" w14:textId="4A32CFD7" w:rsidR="0082611E" w:rsidRPr="00852AD1" w:rsidRDefault="00B64AC9" w:rsidP="0082611E">
      <w:pPr>
        <w:rPr>
          <w:b/>
          <w:sz w:val="22"/>
          <w:szCs w:val="22"/>
        </w:rPr>
      </w:pPr>
      <w:r>
        <w:rPr>
          <w:b/>
          <w:sz w:val="22"/>
          <w:szCs w:val="22"/>
        </w:rPr>
        <w:lastRenderedPageBreak/>
        <w:t>Table A.2: Anesthesia</w:t>
      </w:r>
      <w:r w:rsidR="0082611E" w:rsidRPr="00852AD1">
        <w:rPr>
          <w:b/>
          <w:sz w:val="22"/>
          <w:szCs w:val="22"/>
        </w:rPr>
        <w:t xml:space="preserve"> Care </w:t>
      </w:r>
      <w:r>
        <w:rPr>
          <w:b/>
          <w:sz w:val="22"/>
          <w:szCs w:val="22"/>
        </w:rPr>
        <w:t xml:space="preserve">Team Composition </w:t>
      </w:r>
      <w:r w:rsidR="0082611E" w:rsidRPr="00852AD1">
        <w:rPr>
          <w:b/>
          <w:sz w:val="22"/>
          <w:szCs w:val="22"/>
        </w:rPr>
        <w:t>and Patient Outcomes, 2004-2011 (Second-Stage Regression Results)</w:t>
      </w:r>
    </w:p>
    <w:p w14:paraId="21CAA060" w14:textId="77777777" w:rsidR="0082611E" w:rsidRPr="00852AD1" w:rsidRDefault="0082611E" w:rsidP="0082611E">
      <w:pPr>
        <w:rPr>
          <w:b/>
          <w:sz w:val="22"/>
          <w:szCs w:val="22"/>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87"/>
        <w:gridCol w:w="2514"/>
        <w:gridCol w:w="2514"/>
        <w:gridCol w:w="2515"/>
      </w:tblGrid>
      <w:tr w:rsidR="0082611E" w:rsidRPr="00852AD1" w14:paraId="7AE2ADFD" w14:textId="77777777" w:rsidTr="006A5570">
        <w:trPr>
          <w:trHeight w:val="193"/>
        </w:trPr>
        <w:tc>
          <w:tcPr>
            <w:tcW w:w="958" w:type="pct"/>
            <w:tcBorders>
              <w:right w:val="double" w:sz="4" w:space="0" w:color="auto"/>
            </w:tcBorders>
          </w:tcPr>
          <w:p w14:paraId="757759B7" w14:textId="77777777" w:rsidR="0082611E" w:rsidRPr="00852AD1" w:rsidRDefault="0082611E" w:rsidP="006A5570">
            <w:pPr>
              <w:rPr>
                <w:b/>
                <w:color w:val="000000" w:themeColor="text1"/>
              </w:rPr>
            </w:pPr>
          </w:p>
        </w:tc>
        <w:tc>
          <w:tcPr>
            <w:tcW w:w="1347" w:type="pct"/>
            <w:tcBorders>
              <w:top w:val="double" w:sz="4" w:space="0" w:color="auto"/>
              <w:left w:val="double" w:sz="4" w:space="0" w:color="auto"/>
              <w:bottom w:val="single" w:sz="6" w:space="0" w:color="auto"/>
              <w:right w:val="double" w:sz="4" w:space="0" w:color="auto"/>
            </w:tcBorders>
          </w:tcPr>
          <w:p w14:paraId="7EB9AF52" w14:textId="77777777" w:rsidR="0082611E" w:rsidRPr="00852AD1" w:rsidRDefault="0082611E" w:rsidP="006A5570">
            <w:pPr>
              <w:jc w:val="center"/>
              <w:rPr>
                <w:b/>
                <w:color w:val="000000" w:themeColor="text1"/>
              </w:rPr>
            </w:pPr>
            <w:r w:rsidRPr="00852AD1">
              <w:rPr>
                <w:color w:val="000000" w:themeColor="text1"/>
              </w:rPr>
              <w:t>Inpatient Mortality (%)</w:t>
            </w:r>
          </w:p>
        </w:tc>
        <w:tc>
          <w:tcPr>
            <w:tcW w:w="1347" w:type="pct"/>
            <w:tcBorders>
              <w:left w:val="double" w:sz="4" w:space="0" w:color="auto"/>
            </w:tcBorders>
          </w:tcPr>
          <w:p w14:paraId="3487E815" w14:textId="77777777" w:rsidR="0082611E" w:rsidRPr="00852AD1" w:rsidRDefault="0082611E" w:rsidP="006A5570">
            <w:pPr>
              <w:jc w:val="center"/>
              <w:rPr>
                <w:b/>
                <w:color w:val="000000" w:themeColor="text1"/>
              </w:rPr>
            </w:pPr>
            <w:r w:rsidRPr="00852AD1">
              <w:rPr>
                <w:color w:val="000000" w:themeColor="text1"/>
              </w:rPr>
              <w:t>Length of Stay (Days)</w:t>
            </w:r>
          </w:p>
        </w:tc>
        <w:tc>
          <w:tcPr>
            <w:tcW w:w="1348" w:type="pct"/>
            <w:tcBorders>
              <w:left w:val="double" w:sz="4" w:space="0" w:color="auto"/>
            </w:tcBorders>
          </w:tcPr>
          <w:p w14:paraId="5CDF3AE1" w14:textId="77777777" w:rsidR="0082611E" w:rsidRPr="00852AD1" w:rsidRDefault="0082611E" w:rsidP="006A5570">
            <w:pPr>
              <w:jc w:val="center"/>
              <w:rPr>
                <w:color w:val="000000" w:themeColor="text1"/>
              </w:rPr>
            </w:pPr>
            <w:r w:rsidRPr="00852AD1">
              <w:rPr>
                <w:color w:val="000000" w:themeColor="text1"/>
              </w:rPr>
              <w:t>Inpatient Spending ($)</w:t>
            </w:r>
          </w:p>
        </w:tc>
      </w:tr>
      <w:tr w:rsidR="0082611E" w:rsidRPr="00852AD1" w14:paraId="2F3EA70F" w14:textId="77777777" w:rsidTr="006A5570">
        <w:trPr>
          <w:trHeight w:val="582"/>
        </w:trPr>
        <w:tc>
          <w:tcPr>
            <w:tcW w:w="958" w:type="pct"/>
            <w:tcBorders>
              <w:right w:val="double" w:sz="4" w:space="0" w:color="auto"/>
            </w:tcBorders>
          </w:tcPr>
          <w:p w14:paraId="6539C476" w14:textId="77777777" w:rsidR="0082611E" w:rsidRPr="00852AD1" w:rsidRDefault="0082611E" w:rsidP="006A5570">
            <w:pPr>
              <w:rPr>
                <w:color w:val="000000" w:themeColor="text1"/>
              </w:rPr>
            </w:pPr>
            <w:r w:rsidRPr="00852AD1">
              <w:rPr>
                <w:color w:val="000000" w:themeColor="text1"/>
              </w:rPr>
              <w:t>AA Care</w:t>
            </w:r>
          </w:p>
        </w:tc>
        <w:tc>
          <w:tcPr>
            <w:tcW w:w="1347" w:type="pct"/>
            <w:tcBorders>
              <w:top w:val="single" w:sz="6" w:space="0" w:color="auto"/>
              <w:left w:val="double" w:sz="4" w:space="0" w:color="auto"/>
              <w:bottom w:val="single" w:sz="6" w:space="0" w:color="auto"/>
              <w:right w:val="double" w:sz="4" w:space="0" w:color="auto"/>
            </w:tcBorders>
            <w:vAlign w:val="center"/>
          </w:tcPr>
          <w:p w14:paraId="7432BEF4" w14:textId="00785BD0" w:rsidR="0082611E" w:rsidRPr="00852AD1" w:rsidRDefault="0082611E" w:rsidP="006A5570">
            <w:pPr>
              <w:jc w:val="center"/>
              <w:rPr>
                <w:color w:val="000000" w:themeColor="text1"/>
              </w:rPr>
            </w:pPr>
            <w:r w:rsidRPr="00852AD1">
              <w:rPr>
                <w:color w:val="000000" w:themeColor="text1"/>
              </w:rPr>
              <w:t>-0.</w:t>
            </w:r>
            <w:r w:rsidR="003A12F3">
              <w:rPr>
                <w:color w:val="000000" w:themeColor="text1"/>
              </w:rPr>
              <w:t>08</w:t>
            </w:r>
          </w:p>
          <w:p w14:paraId="59D4798B" w14:textId="0BABDC83" w:rsidR="0082611E" w:rsidRPr="00852AD1" w:rsidRDefault="0082611E" w:rsidP="006A5570">
            <w:pPr>
              <w:jc w:val="center"/>
              <w:rPr>
                <w:color w:val="000000" w:themeColor="text1"/>
              </w:rPr>
            </w:pPr>
            <w:r w:rsidRPr="00852AD1">
              <w:rPr>
                <w:color w:val="000000" w:themeColor="text1"/>
              </w:rPr>
              <w:t>(0.</w:t>
            </w:r>
            <w:r w:rsidR="003A12F3">
              <w:rPr>
                <w:color w:val="000000" w:themeColor="text1"/>
              </w:rPr>
              <w:t>2</w:t>
            </w:r>
            <w:r w:rsidRPr="00852AD1">
              <w:rPr>
                <w:color w:val="000000" w:themeColor="text1"/>
              </w:rPr>
              <w:t>)</w:t>
            </w:r>
          </w:p>
          <w:p w14:paraId="4747C0B5" w14:textId="1DAE0BC7" w:rsidR="0082611E" w:rsidRPr="00852AD1" w:rsidRDefault="0082611E" w:rsidP="006A5570">
            <w:pPr>
              <w:jc w:val="center"/>
              <w:rPr>
                <w:color w:val="000000" w:themeColor="text1"/>
              </w:rPr>
            </w:pPr>
            <w:r w:rsidRPr="00852AD1">
              <w:rPr>
                <w:color w:val="000000" w:themeColor="text1"/>
              </w:rPr>
              <w:t>p=0.</w:t>
            </w:r>
            <w:r w:rsidR="003A12F3">
              <w:rPr>
                <w:color w:val="000000" w:themeColor="text1"/>
              </w:rPr>
              <w:t>47</w:t>
            </w:r>
          </w:p>
        </w:tc>
        <w:tc>
          <w:tcPr>
            <w:tcW w:w="1347" w:type="pct"/>
            <w:tcBorders>
              <w:left w:val="double" w:sz="4" w:space="0" w:color="auto"/>
            </w:tcBorders>
            <w:vAlign w:val="center"/>
          </w:tcPr>
          <w:p w14:paraId="26B8B938" w14:textId="3FF0481F" w:rsidR="0082611E" w:rsidRPr="00852AD1" w:rsidRDefault="003A12F3" w:rsidP="006A5570">
            <w:pPr>
              <w:jc w:val="center"/>
              <w:rPr>
                <w:color w:val="000000" w:themeColor="text1"/>
              </w:rPr>
            </w:pPr>
            <w:r>
              <w:rPr>
                <w:color w:val="000000" w:themeColor="text1"/>
              </w:rPr>
              <w:t>-0.009</w:t>
            </w:r>
          </w:p>
          <w:p w14:paraId="17A66E8A" w14:textId="466C4707" w:rsidR="0082611E" w:rsidRPr="00852AD1" w:rsidRDefault="009B6F88" w:rsidP="006A5570">
            <w:pPr>
              <w:jc w:val="center"/>
              <w:rPr>
                <w:color w:val="000000" w:themeColor="text1"/>
              </w:rPr>
            </w:pPr>
            <w:r w:rsidRPr="00852AD1">
              <w:rPr>
                <w:color w:val="000000" w:themeColor="text1"/>
              </w:rPr>
              <w:t>(0.06</w:t>
            </w:r>
            <w:r w:rsidR="0082611E" w:rsidRPr="00852AD1">
              <w:rPr>
                <w:color w:val="000000" w:themeColor="text1"/>
              </w:rPr>
              <w:t>)</w:t>
            </w:r>
          </w:p>
          <w:p w14:paraId="66EB6BC3" w14:textId="1E807646" w:rsidR="0082611E" w:rsidRPr="00852AD1" w:rsidRDefault="0082611E" w:rsidP="006A5570">
            <w:pPr>
              <w:jc w:val="center"/>
              <w:rPr>
                <w:color w:val="000000" w:themeColor="text1"/>
              </w:rPr>
            </w:pPr>
            <w:r w:rsidRPr="00852AD1">
              <w:rPr>
                <w:color w:val="000000" w:themeColor="text1"/>
              </w:rPr>
              <w:t>p=0.</w:t>
            </w:r>
            <w:r w:rsidR="003A12F3">
              <w:rPr>
                <w:color w:val="000000" w:themeColor="text1"/>
              </w:rPr>
              <w:t>89</w:t>
            </w:r>
          </w:p>
        </w:tc>
        <w:tc>
          <w:tcPr>
            <w:tcW w:w="1348" w:type="pct"/>
            <w:tcBorders>
              <w:left w:val="double" w:sz="4" w:space="0" w:color="auto"/>
            </w:tcBorders>
          </w:tcPr>
          <w:p w14:paraId="70920A8D" w14:textId="44803122" w:rsidR="0082611E" w:rsidRPr="00852AD1" w:rsidRDefault="001C650A" w:rsidP="006A5570">
            <w:pPr>
              <w:jc w:val="center"/>
              <w:rPr>
                <w:color w:val="000000" w:themeColor="text1"/>
              </w:rPr>
            </w:pPr>
            <w:r>
              <w:rPr>
                <w:color w:val="000000" w:themeColor="text1"/>
              </w:rPr>
              <w:t>-56</w:t>
            </w:r>
          </w:p>
          <w:p w14:paraId="2DABC6F3" w14:textId="6882BFD4" w:rsidR="0082611E" w:rsidRPr="00852AD1" w:rsidRDefault="003A12F3" w:rsidP="006A5570">
            <w:pPr>
              <w:jc w:val="center"/>
              <w:rPr>
                <w:color w:val="000000" w:themeColor="text1"/>
              </w:rPr>
            </w:pPr>
            <w:r>
              <w:rPr>
                <w:color w:val="000000" w:themeColor="text1"/>
              </w:rPr>
              <w:t>(142</w:t>
            </w:r>
            <w:r w:rsidR="0082611E" w:rsidRPr="00852AD1">
              <w:rPr>
                <w:color w:val="000000" w:themeColor="text1"/>
              </w:rPr>
              <w:t>)</w:t>
            </w:r>
          </w:p>
          <w:p w14:paraId="31FC1858" w14:textId="7E3033F6" w:rsidR="0082611E" w:rsidRPr="00852AD1" w:rsidRDefault="0082611E" w:rsidP="006A5570">
            <w:pPr>
              <w:jc w:val="center"/>
              <w:rPr>
                <w:color w:val="000000" w:themeColor="text1"/>
              </w:rPr>
            </w:pPr>
            <w:r w:rsidRPr="00852AD1">
              <w:rPr>
                <w:color w:val="000000" w:themeColor="text1"/>
              </w:rPr>
              <w:t>p=0.</w:t>
            </w:r>
            <w:r w:rsidR="003A12F3">
              <w:rPr>
                <w:color w:val="000000" w:themeColor="text1"/>
              </w:rPr>
              <w:t>70</w:t>
            </w:r>
          </w:p>
        </w:tc>
      </w:tr>
      <w:tr w:rsidR="0082611E" w:rsidRPr="00852AD1" w14:paraId="275170C9" w14:textId="77777777" w:rsidTr="006A5570">
        <w:trPr>
          <w:trHeight w:val="546"/>
        </w:trPr>
        <w:tc>
          <w:tcPr>
            <w:tcW w:w="958" w:type="pct"/>
            <w:tcBorders>
              <w:right w:val="double" w:sz="4" w:space="0" w:color="auto"/>
            </w:tcBorders>
          </w:tcPr>
          <w:p w14:paraId="119BC20B" w14:textId="77777777" w:rsidR="0082611E" w:rsidRPr="00852AD1" w:rsidRDefault="0082611E" w:rsidP="006A5570">
            <w:pPr>
              <w:rPr>
                <w:color w:val="000000" w:themeColor="text1"/>
              </w:rPr>
            </w:pPr>
            <w:r w:rsidRPr="00852AD1">
              <w:rPr>
                <w:color w:val="000000" w:themeColor="text1"/>
              </w:rPr>
              <w:t>Constant</w:t>
            </w:r>
          </w:p>
        </w:tc>
        <w:tc>
          <w:tcPr>
            <w:tcW w:w="1347" w:type="pct"/>
            <w:tcBorders>
              <w:top w:val="single" w:sz="6" w:space="0" w:color="auto"/>
              <w:left w:val="double" w:sz="4" w:space="0" w:color="auto"/>
              <w:bottom w:val="single" w:sz="6" w:space="0" w:color="auto"/>
              <w:right w:val="double" w:sz="4" w:space="0" w:color="auto"/>
            </w:tcBorders>
            <w:vAlign w:val="center"/>
          </w:tcPr>
          <w:p w14:paraId="1F6FE070" w14:textId="691D0241" w:rsidR="0082611E" w:rsidRPr="00852AD1" w:rsidRDefault="0082611E" w:rsidP="006A5570">
            <w:pPr>
              <w:jc w:val="center"/>
              <w:rPr>
                <w:color w:val="000000" w:themeColor="text1"/>
              </w:rPr>
            </w:pPr>
            <w:r w:rsidRPr="00852AD1">
              <w:rPr>
                <w:color w:val="000000" w:themeColor="text1"/>
              </w:rPr>
              <w:t>1.</w:t>
            </w:r>
            <w:r w:rsidR="003A12F3">
              <w:rPr>
                <w:color w:val="000000" w:themeColor="text1"/>
              </w:rPr>
              <w:t>6</w:t>
            </w:r>
          </w:p>
          <w:p w14:paraId="2201E442" w14:textId="2D7307CB" w:rsidR="0082611E" w:rsidRPr="00852AD1" w:rsidRDefault="0082611E" w:rsidP="006A5570">
            <w:pPr>
              <w:jc w:val="center"/>
              <w:rPr>
                <w:color w:val="000000" w:themeColor="text1"/>
              </w:rPr>
            </w:pPr>
            <w:r w:rsidRPr="00852AD1">
              <w:rPr>
                <w:color w:val="000000" w:themeColor="text1"/>
              </w:rPr>
              <w:t>(0.</w:t>
            </w:r>
            <w:r w:rsidR="003A12F3">
              <w:rPr>
                <w:color w:val="000000" w:themeColor="text1"/>
              </w:rPr>
              <w:t>34</w:t>
            </w:r>
            <w:r w:rsidRPr="00852AD1">
              <w:rPr>
                <w:color w:val="000000" w:themeColor="text1"/>
              </w:rPr>
              <w:t>)</w:t>
            </w:r>
          </w:p>
          <w:p w14:paraId="3D9E7AF7" w14:textId="77777777" w:rsidR="0082611E" w:rsidRPr="00852AD1" w:rsidRDefault="0082611E" w:rsidP="006A5570">
            <w:pPr>
              <w:jc w:val="center"/>
              <w:rPr>
                <w:color w:val="000000" w:themeColor="text1"/>
              </w:rPr>
            </w:pPr>
            <w:r w:rsidRPr="00852AD1">
              <w:rPr>
                <w:color w:val="000000" w:themeColor="text1"/>
              </w:rPr>
              <w:t>p&lt;0.001</w:t>
            </w:r>
          </w:p>
        </w:tc>
        <w:tc>
          <w:tcPr>
            <w:tcW w:w="1347" w:type="pct"/>
            <w:tcBorders>
              <w:left w:val="double" w:sz="4" w:space="0" w:color="auto"/>
            </w:tcBorders>
            <w:vAlign w:val="center"/>
          </w:tcPr>
          <w:p w14:paraId="03E0180C" w14:textId="01B307D9" w:rsidR="0082611E" w:rsidRPr="00852AD1" w:rsidRDefault="009B6F88" w:rsidP="006A5570">
            <w:pPr>
              <w:jc w:val="center"/>
              <w:rPr>
                <w:color w:val="000000" w:themeColor="text1"/>
              </w:rPr>
            </w:pPr>
            <w:r w:rsidRPr="00852AD1">
              <w:rPr>
                <w:color w:val="000000" w:themeColor="text1"/>
              </w:rPr>
              <w:t>4.3</w:t>
            </w:r>
          </w:p>
          <w:p w14:paraId="47072E52" w14:textId="6DF00415" w:rsidR="0082611E" w:rsidRPr="00852AD1" w:rsidRDefault="009B6F88" w:rsidP="006A5570">
            <w:pPr>
              <w:jc w:val="center"/>
              <w:rPr>
                <w:color w:val="000000" w:themeColor="text1"/>
              </w:rPr>
            </w:pPr>
            <w:r w:rsidRPr="00852AD1">
              <w:rPr>
                <w:color w:val="000000" w:themeColor="text1"/>
              </w:rPr>
              <w:t>(0.17</w:t>
            </w:r>
            <w:r w:rsidR="0082611E" w:rsidRPr="00852AD1">
              <w:rPr>
                <w:color w:val="000000" w:themeColor="text1"/>
              </w:rPr>
              <w:t>)</w:t>
            </w:r>
          </w:p>
          <w:p w14:paraId="7988CED6" w14:textId="77777777" w:rsidR="0082611E" w:rsidRPr="00852AD1" w:rsidRDefault="0082611E" w:rsidP="006A5570">
            <w:pPr>
              <w:jc w:val="center"/>
              <w:rPr>
                <w:color w:val="000000" w:themeColor="text1"/>
              </w:rPr>
            </w:pPr>
            <w:r w:rsidRPr="00852AD1">
              <w:rPr>
                <w:color w:val="000000" w:themeColor="text1"/>
              </w:rPr>
              <w:t>p&lt;0.001</w:t>
            </w:r>
          </w:p>
        </w:tc>
        <w:tc>
          <w:tcPr>
            <w:tcW w:w="1348" w:type="pct"/>
            <w:tcBorders>
              <w:left w:val="double" w:sz="4" w:space="0" w:color="auto"/>
            </w:tcBorders>
          </w:tcPr>
          <w:p w14:paraId="1073D9C9" w14:textId="29B9516A" w:rsidR="0082611E" w:rsidRPr="00852AD1" w:rsidRDefault="003A12F3" w:rsidP="006A5570">
            <w:pPr>
              <w:jc w:val="center"/>
              <w:rPr>
                <w:color w:val="000000" w:themeColor="text1"/>
              </w:rPr>
            </w:pPr>
            <w:r>
              <w:rPr>
                <w:color w:val="000000" w:themeColor="text1"/>
              </w:rPr>
              <w:t>42,318</w:t>
            </w:r>
          </w:p>
          <w:p w14:paraId="4776B92E" w14:textId="7B964174" w:rsidR="0082611E" w:rsidRPr="00852AD1" w:rsidRDefault="003A12F3" w:rsidP="006A5570">
            <w:pPr>
              <w:jc w:val="center"/>
              <w:rPr>
                <w:color w:val="000000" w:themeColor="text1"/>
              </w:rPr>
            </w:pPr>
            <w:r>
              <w:rPr>
                <w:color w:val="000000" w:themeColor="text1"/>
              </w:rPr>
              <w:t>(513</w:t>
            </w:r>
            <w:r w:rsidR="0082611E" w:rsidRPr="00852AD1">
              <w:rPr>
                <w:color w:val="000000" w:themeColor="text1"/>
              </w:rPr>
              <w:t>)</w:t>
            </w:r>
          </w:p>
          <w:p w14:paraId="30AAE64A" w14:textId="77777777" w:rsidR="0082611E" w:rsidRPr="00852AD1" w:rsidRDefault="0082611E" w:rsidP="006A5570">
            <w:pPr>
              <w:jc w:val="center"/>
              <w:rPr>
                <w:color w:val="000000" w:themeColor="text1"/>
              </w:rPr>
            </w:pPr>
            <w:r w:rsidRPr="00852AD1">
              <w:rPr>
                <w:color w:val="000000" w:themeColor="text1"/>
              </w:rPr>
              <w:t>p&lt;0.001</w:t>
            </w:r>
          </w:p>
        </w:tc>
      </w:tr>
      <w:tr w:rsidR="0082611E" w:rsidRPr="00852AD1" w14:paraId="0B95EFB8" w14:textId="77777777" w:rsidTr="006A5570">
        <w:trPr>
          <w:trHeight w:val="546"/>
        </w:trPr>
        <w:tc>
          <w:tcPr>
            <w:tcW w:w="958" w:type="pct"/>
            <w:tcBorders>
              <w:right w:val="double" w:sz="4" w:space="0" w:color="auto"/>
            </w:tcBorders>
            <w:vAlign w:val="center"/>
          </w:tcPr>
          <w:p w14:paraId="7A60A8EE" w14:textId="77777777" w:rsidR="0082611E" w:rsidRPr="00852AD1" w:rsidRDefault="0082611E" w:rsidP="006A5570">
            <w:pPr>
              <w:rPr>
                <w:color w:val="000000" w:themeColor="text1"/>
              </w:rPr>
            </w:pPr>
            <w:r w:rsidRPr="00852AD1">
              <w:rPr>
                <w:color w:val="000000" w:themeColor="text1"/>
              </w:rPr>
              <w:t>F-statistic</w:t>
            </w:r>
          </w:p>
        </w:tc>
        <w:tc>
          <w:tcPr>
            <w:tcW w:w="1347" w:type="pct"/>
            <w:tcBorders>
              <w:top w:val="single" w:sz="6" w:space="0" w:color="auto"/>
              <w:left w:val="double" w:sz="4" w:space="0" w:color="auto"/>
              <w:bottom w:val="single" w:sz="6" w:space="0" w:color="auto"/>
              <w:right w:val="double" w:sz="4" w:space="0" w:color="auto"/>
            </w:tcBorders>
            <w:vAlign w:val="center"/>
          </w:tcPr>
          <w:p w14:paraId="693DB176" w14:textId="32C3DE04" w:rsidR="0082611E" w:rsidRPr="00852AD1" w:rsidRDefault="00D240FA" w:rsidP="006A5570">
            <w:pPr>
              <w:jc w:val="center"/>
              <w:rPr>
                <w:color w:val="000000" w:themeColor="text1"/>
              </w:rPr>
            </w:pPr>
            <w:r w:rsidRPr="00852AD1">
              <w:rPr>
                <w:color w:val="000000" w:themeColor="text1"/>
              </w:rPr>
              <w:t>99999</w:t>
            </w:r>
          </w:p>
        </w:tc>
        <w:tc>
          <w:tcPr>
            <w:tcW w:w="1347" w:type="pct"/>
            <w:tcBorders>
              <w:left w:val="double" w:sz="4" w:space="0" w:color="auto"/>
            </w:tcBorders>
            <w:vAlign w:val="center"/>
          </w:tcPr>
          <w:p w14:paraId="7ECDF792" w14:textId="2D662856" w:rsidR="0082611E" w:rsidRPr="00852AD1" w:rsidRDefault="009B6F88" w:rsidP="006A5570">
            <w:pPr>
              <w:jc w:val="center"/>
              <w:rPr>
                <w:color w:val="000000" w:themeColor="text1"/>
              </w:rPr>
            </w:pPr>
            <w:r w:rsidRPr="00852AD1">
              <w:rPr>
                <w:color w:val="000000" w:themeColor="text1"/>
              </w:rPr>
              <w:t>99999</w:t>
            </w:r>
          </w:p>
        </w:tc>
        <w:tc>
          <w:tcPr>
            <w:tcW w:w="1348" w:type="pct"/>
            <w:tcBorders>
              <w:left w:val="double" w:sz="4" w:space="0" w:color="auto"/>
            </w:tcBorders>
            <w:vAlign w:val="center"/>
          </w:tcPr>
          <w:p w14:paraId="3E9F97F9" w14:textId="295E200B" w:rsidR="0082611E" w:rsidRPr="00852AD1" w:rsidRDefault="009B6F88" w:rsidP="006A5570">
            <w:pPr>
              <w:jc w:val="center"/>
              <w:rPr>
                <w:color w:val="000000" w:themeColor="text1"/>
              </w:rPr>
            </w:pPr>
            <w:r w:rsidRPr="00852AD1">
              <w:rPr>
                <w:color w:val="000000" w:themeColor="text1"/>
              </w:rPr>
              <w:t>99999</w:t>
            </w:r>
          </w:p>
        </w:tc>
      </w:tr>
      <w:tr w:rsidR="0082611E" w:rsidRPr="00852AD1" w14:paraId="35BF6763" w14:textId="77777777" w:rsidTr="006A5570">
        <w:trPr>
          <w:trHeight w:val="546"/>
        </w:trPr>
        <w:tc>
          <w:tcPr>
            <w:tcW w:w="958" w:type="pct"/>
            <w:tcBorders>
              <w:right w:val="double" w:sz="4" w:space="0" w:color="auto"/>
            </w:tcBorders>
            <w:vAlign w:val="center"/>
          </w:tcPr>
          <w:p w14:paraId="121A2B88" w14:textId="77777777" w:rsidR="0082611E" w:rsidRPr="00852AD1" w:rsidRDefault="0082611E" w:rsidP="006A5570">
            <w:pPr>
              <w:rPr>
                <w:color w:val="000000" w:themeColor="text1"/>
              </w:rPr>
            </w:pPr>
            <w:r w:rsidRPr="00852AD1">
              <w:rPr>
                <w:color w:val="000000" w:themeColor="text1"/>
              </w:rPr>
              <w:t>R-squared</w:t>
            </w:r>
          </w:p>
        </w:tc>
        <w:tc>
          <w:tcPr>
            <w:tcW w:w="1347" w:type="pct"/>
            <w:tcBorders>
              <w:top w:val="single" w:sz="6" w:space="0" w:color="auto"/>
              <w:left w:val="double" w:sz="4" w:space="0" w:color="auto"/>
              <w:bottom w:val="single" w:sz="6" w:space="0" w:color="auto"/>
              <w:right w:val="double" w:sz="4" w:space="0" w:color="auto"/>
            </w:tcBorders>
            <w:vAlign w:val="center"/>
          </w:tcPr>
          <w:p w14:paraId="1104B10A" w14:textId="072EABB4" w:rsidR="0082611E" w:rsidRPr="00852AD1" w:rsidRDefault="0082611E" w:rsidP="006A5570">
            <w:pPr>
              <w:jc w:val="center"/>
              <w:rPr>
                <w:color w:val="000000" w:themeColor="text1"/>
              </w:rPr>
            </w:pPr>
            <w:r w:rsidRPr="00852AD1">
              <w:rPr>
                <w:color w:val="000000" w:themeColor="text1"/>
              </w:rPr>
              <w:t>0.07</w:t>
            </w:r>
          </w:p>
        </w:tc>
        <w:tc>
          <w:tcPr>
            <w:tcW w:w="1347" w:type="pct"/>
            <w:tcBorders>
              <w:left w:val="double" w:sz="4" w:space="0" w:color="auto"/>
            </w:tcBorders>
            <w:vAlign w:val="center"/>
          </w:tcPr>
          <w:p w14:paraId="7C087BAF" w14:textId="1B00047D" w:rsidR="0082611E" w:rsidRPr="00852AD1" w:rsidRDefault="0082611E" w:rsidP="006A5570">
            <w:pPr>
              <w:jc w:val="center"/>
              <w:rPr>
                <w:color w:val="000000" w:themeColor="text1"/>
              </w:rPr>
            </w:pPr>
            <w:r w:rsidRPr="00852AD1">
              <w:rPr>
                <w:color w:val="000000" w:themeColor="text1"/>
              </w:rPr>
              <w:t>0.36</w:t>
            </w:r>
          </w:p>
        </w:tc>
        <w:tc>
          <w:tcPr>
            <w:tcW w:w="1348" w:type="pct"/>
            <w:tcBorders>
              <w:left w:val="double" w:sz="4" w:space="0" w:color="auto"/>
            </w:tcBorders>
            <w:vAlign w:val="center"/>
          </w:tcPr>
          <w:p w14:paraId="6C7DEB79" w14:textId="75E15AC6" w:rsidR="0082611E" w:rsidRPr="00852AD1" w:rsidRDefault="0082611E" w:rsidP="006A5570">
            <w:pPr>
              <w:jc w:val="center"/>
              <w:rPr>
                <w:color w:val="000000" w:themeColor="text1"/>
              </w:rPr>
            </w:pPr>
            <w:r w:rsidRPr="00852AD1">
              <w:rPr>
                <w:color w:val="000000" w:themeColor="text1"/>
              </w:rPr>
              <w:t>0.54</w:t>
            </w:r>
          </w:p>
        </w:tc>
      </w:tr>
      <w:tr w:rsidR="0082611E" w:rsidRPr="00852AD1" w14:paraId="32959384" w14:textId="77777777" w:rsidTr="006A5570">
        <w:trPr>
          <w:trHeight w:val="546"/>
        </w:trPr>
        <w:tc>
          <w:tcPr>
            <w:tcW w:w="958" w:type="pct"/>
            <w:tcBorders>
              <w:bottom w:val="double" w:sz="4" w:space="0" w:color="auto"/>
              <w:right w:val="double" w:sz="4" w:space="0" w:color="auto"/>
            </w:tcBorders>
            <w:vAlign w:val="center"/>
          </w:tcPr>
          <w:p w14:paraId="0AEE0022" w14:textId="77777777" w:rsidR="0082611E" w:rsidRPr="00852AD1" w:rsidRDefault="0082611E" w:rsidP="006A5570">
            <w:pPr>
              <w:rPr>
                <w:color w:val="000000" w:themeColor="text1"/>
              </w:rPr>
            </w:pPr>
            <w:r w:rsidRPr="00852AD1">
              <w:rPr>
                <w:color w:val="000000" w:themeColor="text1"/>
              </w:rPr>
              <w:t>N</w:t>
            </w:r>
          </w:p>
        </w:tc>
        <w:tc>
          <w:tcPr>
            <w:tcW w:w="1347" w:type="pct"/>
            <w:tcBorders>
              <w:top w:val="single" w:sz="6" w:space="0" w:color="auto"/>
              <w:left w:val="double" w:sz="4" w:space="0" w:color="auto"/>
              <w:bottom w:val="double" w:sz="4" w:space="0" w:color="auto"/>
              <w:right w:val="double" w:sz="4" w:space="0" w:color="auto"/>
            </w:tcBorders>
            <w:vAlign w:val="center"/>
          </w:tcPr>
          <w:p w14:paraId="6787D08C" w14:textId="0C2E4917" w:rsidR="0082611E" w:rsidRPr="00852AD1" w:rsidRDefault="00532035" w:rsidP="006A5570">
            <w:pPr>
              <w:jc w:val="center"/>
              <w:rPr>
                <w:color w:val="000000" w:themeColor="text1"/>
              </w:rPr>
            </w:pPr>
            <w:r w:rsidRPr="00852AD1">
              <w:rPr>
                <w:color w:val="000000" w:themeColor="text1"/>
              </w:rPr>
              <w:t>4</w:t>
            </w:r>
            <w:r w:rsidR="003A12F3">
              <w:rPr>
                <w:color w:val="000000" w:themeColor="text1"/>
              </w:rPr>
              <w:t>43,098</w:t>
            </w:r>
          </w:p>
        </w:tc>
        <w:tc>
          <w:tcPr>
            <w:tcW w:w="1347" w:type="pct"/>
            <w:tcBorders>
              <w:left w:val="double" w:sz="4" w:space="0" w:color="auto"/>
              <w:bottom w:val="double" w:sz="4" w:space="0" w:color="auto"/>
            </w:tcBorders>
            <w:vAlign w:val="center"/>
          </w:tcPr>
          <w:p w14:paraId="60586D8A" w14:textId="68A8F7F7" w:rsidR="0082611E" w:rsidRPr="00852AD1" w:rsidRDefault="003A12F3" w:rsidP="006A5570">
            <w:pPr>
              <w:jc w:val="center"/>
              <w:rPr>
                <w:color w:val="000000" w:themeColor="text1"/>
              </w:rPr>
            </w:pPr>
            <w:r w:rsidRPr="00852AD1">
              <w:rPr>
                <w:color w:val="000000" w:themeColor="text1"/>
              </w:rPr>
              <w:t>4</w:t>
            </w:r>
            <w:r>
              <w:rPr>
                <w:color w:val="000000" w:themeColor="text1"/>
              </w:rPr>
              <w:t>43,098</w:t>
            </w:r>
          </w:p>
        </w:tc>
        <w:tc>
          <w:tcPr>
            <w:tcW w:w="1348" w:type="pct"/>
            <w:tcBorders>
              <w:left w:val="double" w:sz="4" w:space="0" w:color="auto"/>
              <w:bottom w:val="double" w:sz="4" w:space="0" w:color="auto"/>
            </w:tcBorders>
            <w:vAlign w:val="center"/>
          </w:tcPr>
          <w:p w14:paraId="3B6F2970" w14:textId="1B8DD71D" w:rsidR="0082611E" w:rsidRPr="00852AD1" w:rsidRDefault="003A12F3" w:rsidP="006A5570">
            <w:pPr>
              <w:jc w:val="center"/>
              <w:rPr>
                <w:color w:val="000000" w:themeColor="text1"/>
              </w:rPr>
            </w:pPr>
            <w:r w:rsidRPr="00852AD1">
              <w:rPr>
                <w:color w:val="000000" w:themeColor="text1"/>
              </w:rPr>
              <w:t>4</w:t>
            </w:r>
            <w:r>
              <w:rPr>
                <w:color w:val="000000" w:themeColor="text1"/>
              </w:rPr>
              <w:t>43,098</w:t>
            </w:r>
          </w:p>
        </w:tc>
      </w:tr>
    </w:tbl>
    <w:p w14:paraId="2F490306" w14:textId="77777777" w:rsidR="0082611E" w:rsidRPr="00852AD1" w:rsidRDefault="0082611E" w:rsidP="0082611E">
      <w:pPr>
        <w:spacing w:line="480" w:lineRule="auto"/>
        <w:rPr>
          <w:i/>
          <w:sz w:val="22"/>
          <w:szCs w:val="22"/>
        </w:rPr>
      </w:pPr>
    </w:p>
    <w:p w14:paraId="25ECD7C4" w14:textId="0D21E5A1" w:rsidR="004971D7" w:rsidRDefault="0082611E" w:rsidP="00852AD1">
      <w:pPr>
        <w:spacing w:line="480" w:lineRule="auto"/>
        <w:rPr>
          <w:sz w:val="22"/>
          <w:szCs w:val="22"/>
        </w:rPr>
      </w:pPr>
      <w:r w:rsidRPr="00852AD1">
        <w:rPr>
          <w:i/>
          <w:sz w:val="22"/>
          <w:szCs w:val="22"/>
        </w:rPr>
        <w:t>Notes:</w:t>
      </w:r>
      <w:r w:rsidRPr="00852AD1">
        <w:rPr>
          <w:sz w:val="22"/>
          <w:szCs w:val="22"/>
        </w:rPr>
        <w:t xml:space="preserve"> Table A.2 shows the results of our second stage regression using two </w:t>
      </w:r>
      <w:proofErr w:type="gramStart"/>
      <w:r w:rsidRPr="00852AD1">
        <w:rPr>
          <w:sz w:val="22"/>
          <w:szCs w:val="22"/>
        </w:rPr>
        <w:t>stage</w:t>
      </w:r>
      <w:proofErr w:type="gramEnd"/>
      <w:r w:rsidRPr="00852AD1">
        <w:rPr>
          <w:sz w:val="22"/>
          <w:szCs w:val="22"/>
        </w:rPr>
        <w:t xml:space="preserve"> least squares estimation. Regression coefficients are shown together with standard errors that are clustered at the hospital level (in parentheses) as well as p-values. We do not show coefficients for the year effects for years 2004-2011, age controls, procedure effects, hospital fixed effects, and the patient characteristics listed in Table 1. These are available from the authors on request. Column (1) shows the results of a regression in which the dependent variable is inpatient mortality and the independent variable is the instrument for whether an AA </w:t>
      </w:r>
      <w:r w:rsidR="00096740" w:rsidRPr="00852AD1">
        <w:rPr>
          <w:sz w:val="22"/>
          <w:szCs w:val="22"/>
        </w:rPr>
        <w:t>was involved in the patient’s care</w:t>
      </w:r>
      <w:r w:rsidRPr="00852AD1">
        <w:rPr>
          <w:sz w:val="22"/>
          <w:szCs w:val="22"/>
        </w:rPr>
        <w:t xml:space="preserve">. Column (2) shows the results of a regression in which the dependent variable is length of stay and column (3) shows the results of a regression in which the dependent variable is inpatient spending. </w:t>
      </w:r>
    </w:p>
    <w:p w14:paraId="68730DCE" w14:textId="20E57A25" w:rsidR="00503053" w:rsidRDefault="00503053">
      <w:pPr>
        <w:rPr>
          <w:sz w:val="22"/>
          <w:szCs w:val="22"/>
        </w:rPr>
      </w:pPr>
      <w:r>
        <w:rPr>
          <w:sz w:val="22"/>
          <w:szCs w:val="22"/>
        </w:rPr>
        <w:br w:type="page"/>
      </w:r>
    </w:p>
    <w:p w14:paraId="61ADFF7F" w14:textId="18A4D50B" w:rsidR="00B64AC9" w:rsidRPr="00852AD1" w:rsidRDefault="00B64AC9" w:rsidP="00B64AC9">
      <w:pPr>
        <w:rPr>
          <w:b/>
          <w:sz w:val="22"/>
          <w:szCs w:val="22"/>
        </w:rPr>
      </w:pPr>
      <w:r>
        <w:rPr>
          <w:b/>
          <w:sz w:val="22"/>
          <w:szCs w:val="22"/>
        </w:rPr>
        <w:lastRenderedPageBreak/>
        <w:t xml:space="preserve">Table A.3.: </w:t>
      </w:r>
      <w:r>
        <w:rPr>
          <w:b/>
          <w:sz w:val="22"/>
          <w:szCs w:val="22"/>
        </w:rPr>
        <w:t>Anesthesia</w:t>
      </w:r>
      <w:r w:rsidRPr="00852AD1">
        <w:rPr>
          <w:b/>
          <w:sz w:val="22"/>
          <w:szCs w:val="22"/>
        </w:rPr>
        <w:t xml:space="preserve"> Care </w:t>
      </w:r>
      <w:r>
        <w:rPr>
          <w:b/>
          <w:sz w:val="22"/>
          <w:szCs w:val="22"/>
        </w:rPr>
        <w:t xml:space="preserve">Team Composition </w:t>
      </w:r>
      <w:r w:rsidRPr="00852AD1">
        <w:rPr>
          <w:b/>
          <w:sz w:val="22"/>
          <w:szCs w:val="22"/>
        </w:rPr>
        <w:t xml:space="preserve">and </w:t>
      </w:r>
      <w:r>
        <w:rPr>
          <w:b/>
          <w:sz w:val="22"/>
          <w:szCs w:val="22"/>
        </w:rPr>
        <w:t xml:space="preserve">Additional Patient Outcomes, 2004-2011 </w:t>
      </w:r>
    </w:p>
    <w:p w14:paraId="1E8B9CE8" w14:textId="6BF88045" w:rsidR="00503053" w:rsidRDefault="00503053" w:rsidP="00852AD1">
      <w:pPr>
        <w:spacing w:line="480" w:lineRule="auto"/>
        <w:rPr>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855"/>
        <w:gridCol w:w="1241"/>
        <w:gridCol w:w="2234"/>
      </w:tblGrid>
      <w:tr w:rsidR="00B64AC9" w:rsidRPr="00C8515E" w14:paraId="6EE1C392" w14:textId="77777777" w:rsidTr="005B11C9">
        <w:tc>
          <w:tcPr>
            <w:tcW w:w="0" w:type="auto"/>
          </w:tcPr>
          <w:p w14:paraId="3115C547" w14:textId="77777777" w:rsidR="00B64AC9" w:rsidRPr="00C8515E" w:rsidRDefault="00B64AC9" w:rsidP="00F633D5">
            <w:pPr>
              <w:jc w:val="center"/>
              <w:rPr>
                <w:rFonts w:ascii="Arial" w:hAnsi="Arial" w:cs="Arial"/>
                <w:b/>
              </w:rPr>
            </w:pPr>
            <w:r w:rsidRPr="00C8515E">
              <w:rPr>
                <w:rFonts w:ascii="Arial" w:hAnsi="Arial" w:cs="Arial"/>
                <w:b/>
              </w:rPr>
              <w:t>Outcome</w:t>
            </w:r>
          </w:p>
        </w:tc>
        <w:tc>
          <w:tcPr>
            <w:tcW w:w="0" w:type="auto"/>
          </w:tcPr>
          <w:p w14:paraId="2B3DF4EF" w14:textId="77777777" w:rsidR="00B64AC9" w:rsidRPr="00C8515E" w:rsidRDefault="00B64AC9" w:rsidP="00F633D5">
            <w:pPr>
              <w:jc w:val="center"/>
              <w:rPr>
                <w:rFonts w:ascii="Arial" w:hAnsi="Arial" w:cs="Arial"/>
                <w:b/>
              </w:rPr>
            </w:pPr>
            <w:r w:rsidRPr="00C8515E">
              <w:rPr>
                <w:rFonts w:ascii="Arial" w:hAnsi="Arial" w:cs="Arial"/>
                <w:b/>
              </w:rPr>
              <w:t>N</w:t>
            </w:r>
          </w:p>
        </w:tc>
        <w:tc>
          <w:tcPr>
            <w:tcW w:w="0" w:type="auto"/>
          </w:tcPr>
          <w:p w14:paraId="02EA3AE3" w14:textId="77777777" w:rsidR="00B64AC9" w:rsidRPr="00C8515E" w:rsidRDefault="00B64AC9" w:rsidP="00F633D5">
            <w:pPr>
              <w:jc w:val="center"/>
              <w:rPr>
                <w:rFonts w:ascii="Arial" w:hAnsi="Arial" w:cs="Arial"/>
                <w:b/>
              </w:rPr>
            </w:pPr>
            <w:r w:rsidRPr="00C8515E">
              <w:rPr>
                <w:rFonts w:ascii="Arial" w:hAnsi="Arial" w:cs="Arial"/>
                <w:b/>
              </w:rPr>
              <w:t>Regression Coefficient</w:t>
            </w:r>
          </w:p>
        </w:tc>
      </w:tr>
      <w:tr w:rsidR="00B64AC9" w:rsidRPr="00C8515E" w14:paraId="7F2709EE" w14:textId="77777777" w:rsidTr="005B11C9">
        <w:tc>
          <w:tcPr>
            <w:tcW w:w="0" w:type="auto"/>
          </w:tcPr>
          <w:p w14:paraId="66189F37" w14:textId="77777777" w:rsidR="00B64AC9" w:rsidRPr="00C8515E" w:rsidRDefault="00B64AC9" w:rsidP="00F633D5">
            <w:pPr>
              <w:rPr>
                <w:rFonts w:ascii="Arial" w:hAnsi="Arial" w:cs="Arial"/>
              </w:rPr>
            </w:pPr>
            <w:r w:rsidRPr="00C8515E">
              <w:rPr>
                <w:rFonts w:ascii="Arial" w:hAnsi="Arial" w:cs="Arial"/>
              </w:rPr>
              <w:t>Death among patients admitted with Low-Risk DRGs</w:t>
            </w:r>
          </w:p>
        </w:tc>
        <w:tc>
          <w:tcPr>
            <w:tcW w:w="0" w:type="auto"/>
          </w:tcPr>
          <w:p w14:paraId="59A0F664" w14:textId="77777777" w:rsidR="00B64AC9" w:rsidRPr="00C8515E" w:rsidRDefault="00B64AC9" w:rsidP="00F633D5">
            <w:pPr>
              <w:jc w:val="center"/>
              <w:rPr>
                <w:rFonts w:ascii="Arial" w:hAnsi="Arial" w:cs="Arial"/>
              </w:rPr>
            </w:pPr>
            <w:r w:rsidRPr="00C8515E">
              <w:rPr>
                <w:rFonts w:ascii="Arial" w:hAnsi="Arial" w:cs="Arial"/>
              </w:rPr>
              <w:t>64,070</w:t>
            </w:r>
          </w:p>
        </w:tc>
        <w:tc>
          <w:tcPr>
            <w:tcW w:w="0" w:type="auto"/>
          </w:tcPr>
          <w:p w14:paraId="0F194C5F" w14:textId="77777777" w:rsidR="00B64AC9" w:rsidRPr="00C8515E" w:rsidRDefault="00B64AC9" w:rsidP="00F633D5">
            <w:pPr>
              <w:jc w:val="center"/>
              <w:rPr>
                <w:rFonts w:ascii="Arial" w:hAnsi="Arial" w:cs="Arial"/>
              </w:rPr>
            </w:pPr>
            <w:r w:rsidRPr="00C8515E">
              <w:rPr>
                <w:rFonts w:ascii="Arial" w:hAnsi="Arial" w:cs="Arial"/>
              </w:rPr>
              <w:t>0.04</w:t>
            </w:r>
          </w:p>
          <w:p w14:paraId="58939D85" w14:textId="77777777" w:rsidR="00B64AC9" w:rsidRPr="00C8515E" w:rsidRDefault="00B64AC9" w:rsidP="00F633D5">
            <w:pPr>
              <w:jc w:val="center"/>
              <w:rPr>
                <w:rFonts w:ascii="Arial" w:hAnsi="Arial" w:cs="Arial"/>
              </w:rPr>
            </w:pPr>
            <w:r w:rsidRPr="00C8515E">
              <w:rPr>
                <w:rFonts w:ascii="Arial" w:hAnsi="Arial" w:cs="Arial"/>
              </w:rPr>
              <w:t>(-0.3 to 0.4)</w:t>
            </w:r>
          </w:p>
          <w:p w14:paraId="320EDC52" w14:textId="77777777" w:rsidR="00B64AC9" w:rsidRPr="00C8515E" w:rsidRDefault="00B64AC9" w:rsidP="00F633D5">
            <w:pPr>
              <w:jc w:val="center"/>
              <w:rPr>
                <w:rFonts w:ascii="Arial" w:hAnsi="Arial" w:cs="Arial"/>
              </w:rPr>
            </w:pPr>
            <w:r w:rsidRPr="00C8515E">
              <w:rPr>
                <w:rFonts w:ascii="Arial" w:hAnsi="Arial" w:cs="Arial"/>
              </w:rPr>
              <w:t>p=0.86</w:t>
            </w:r>
          </w:p>
        </w:tc>
      </w:tr>
      <w:tr w:rsidR="00B64AC9" w:rsidRPr="00C8515E" w14:paraId="411401F8" w14:textId="77777777" w:rsidTr="005B11C9">
        <w:tc>
          <w:tcPr>
            <w:tcW w:w="0" w:type="auto"/>
          </w:tcPr>
          <w:p w14:paraId="17B4EEFE" w14:textId="77777777" w:rsidR="00B64AC9" w:rsidRPr="00C8515E" w:rsidRDefault="00B64AC9" w:rsidP="00F633D5">
            <w:pPr>
              <w:rPr>
                <w:rFonts w:ascii="Arial" w:hAnsi="Arial" w:cs="Arial"/>
              </w:rPr>
            </w:pPr>
            <w:r w:rsidRPr="00C8515E">
              <w:rPr>
                <w:rFonts w:ascii="Arial" w:hAnsi="Arial" w:cs="Arial"/>
              </w:rPr>
              <w:t>Death among patients with serious treatable conditions (pneumonia, sepsis, shock, shock, or GI hemorrhage)</w:t>
            </w:r>
          </w:p>
        </w:tc>
        <w:tc>
          <w:tcPr>
            <w:tcW w:w="0" w:type="auto"/>
          </w:tcPr>
          <w:p w14:paraId="13413FBF" w14:textId="77777777" w:rsidR="00B64AC9" w:rsidRPr="00C8515E" w:rsidRDefault="00B64AC9" w:rsidP="00F633D5">
            <w:pPr>
              <w:jc w:val="center"/>
              <w:rPr>
                <w:rFonts w:ascii="Arial" w:hAnsi="Arial" w:cs="Arial"/>
              </w:rPr>
            </w:pPr>
            <w:r w:rsidRPr="00C8515E">
              <w:rPr>
                <w:rFonts w:ascii="Arial" w:hAnsi="Arial" w:cs="Arial"/>
              </w:rPr>
              <w:t>24,499</w:t>
            </w:r>
          </w:p>
        </w:tc>
        <w:tc>
          <w:tcPr>
            <w:tcW w:w="0" w:type="auto"/>
          </w:tcPr>
          <w:p w14:paraId="49374213" w14:textId="77777777" w:rsidR="00B64AC9" w:rsidRPr="00C8515E" w:rsidRDefault="00B64AC9" w:rsidP="00F633D5">
            <w:pPr>
              <w:jc w:val="center"/>
              <w:rPr>
                <w:rFonts w:ascii="Arial" w:hAnsi="Arial" w:cs="Arial"/>
              </w:rPr>
            </w:pPr>
            <w:r w:rsidRPr="00C8515E">
              <w:rPr>
                <w:rFonts w:ascii="Arial" w:hAnsi="Arial" w:cs="Arial"/>
              </w:rPr>
              <w:t>2.0</w:t>
            </w:r>
          </w:p>
          <w:p w14:paraId="67EEBBE0" w14:textId="77777777" w:rsidR="00B64AC9" w:rsidRPr="00C8515E" w:rsidRDefault="00B64AC9" w:rsidP="00F633D5">
            <w:pPr>
              <w:jc w:val="center"/>
              <w:rPr>
                <w:rFonts w:ascii="Arial" w:hAnsi="Arial" w:cs="Arial"/>
              </w:rPr>
            </w:pPr>
            <w:r w:rsidRPr="00C8515E">
              <w:rPr>
                <w:rFonts w:ascii="Arial" w:hAnsi="Arial" w:cs="Arial"/>
              </w:rPr>
              <w:t>(-0.2 to 4.3)</w:t>
            </w:r>
          </w:p>
          <w:p w14:paraId="4CAA6C92" w14:textId="77777777" w:rsidR="00B64AC9" w:rsidRPr="00C8515E" w:rsidRDefault="00B64AC9" w:rsidP="00F633D5">
            <w:pPr>
              <w:jc w:val="center"/>
              <w:rPr>
                <w:rFonts w:ascii="Arial" w:hAnsi="Arial" w:cs="Arial"/>
              </w:rPr>
            </w:pPr>
            <w:r w:rsidRPr="00C8515E">
              <w:rPr>
                <w:rFonts w:ascii="Arial" w:hAnsi="Arial" w:cs="Arial"/>
              </w:rPr>
              <w:t>p=0.08</w:t>
            </w:r>
          </w:p>
        </w:tc>
      </w:tr>
      <w:tr w:rsidR="00B64AC9" w:rsidRPr="00C8515E" w14:paraId="76410B13" w14:textId="77777777" w:rsidTr="005B11C9">
        <w:tc>
          <w:tcPr>
            <w:tcW w:w="0" w:type="auto"/>
          </w:tcPr>
          <w:p w14:paraId="379C5445" w14:textId="77777777" w:rsidR="00B64AC9" w:rsidRPr="00C8515E" w:rsidRDefault="00B64AC9" w:rsidP="00F633D5">
            <w:pPr>
              <w:rPr>
                <w:rFonts w:ascii="Arial" w:hAnsi="Arial" w:cs="Arial"/>
              </w:rPr>
            </w:pPr>
            <w:r w:rsidRPr="00C8515E">
              <w:rPr>
                <w:rFonts w:ascii="Arial" w:hAnsi="Arial" w:cs="Arial"/>
              </w:rPr>
              <w:t>Pneumothorax</w:t>
            </w:r>
          </w:p>
        </w:tc>
        <w:tc>
          <w:tcPr>
            <w:tcW w:w="0" w:type="auto"/>
          </w:tcPr>
          <w:p w14:paraId="0359B85B" w14:textId="77777777" w:rsidR="00B64AC9" w:rsidRPr="00C8515E" w:rsidRDefault="00B64AC9" w:rsidP="00F633D5">
            <w:pPr>
              <w:jc w:val="center"/>
              <w:rPr>
                <w:rFonts w:ascii="Arial" w:hAnsi="Arial" w:cs="Arial"/>
              </w:rPr>
            </w:pPr>
            <w:r w:rsidRPr="00C8515E">
              <w:rPr>
                <w:rFonts w:ascii="Arial" w:hAnsi="Arial" w:cs="Arial"/>
              </w:rPr>
              <w:t>409,528</w:t>
            </w:r>
          </w:p>
        </w:tc>
        <w:tc>
          <w:tcPr>
            <w:tcW w:w="0" w:type="auto"/>
          </w:tcPr>
          <w:p w14:paraId="24023402" w14:textId="77777777" w:rsidR="00B64AC9" w:rsidRPr="00C8515E" w:rsidRDefault="00B64AC9" w:rsidP="00F633D5">
            <w:pPr>
              <w:jc w:val="center"/>
              <w:rPr>
                <w:rFonts w:ascii="Arial" w:hAnsi="Arial" w:cs="Arial"/>
              </w:rPr>
            </w:pPr>
            <w:r w:rsidRPr="00C8515E">
              <w:rPr>
                <w:rFonts w:ascii="Arial" w:hAnsi="Arial" w:cs="Arial"/>
              </w:rPr>
              <w:t>0.057</w:t>
            </w:r>
          </w:p>
          <w:p w14:paraId="0391E601" w14:textId="77777777" w:rsidR="00B64AC9" w:rsidRPr="00C8515E" w:rsidRDefault="00B64AC9" w:rsidP="00F633D5">
            <w:pPr>
              <w:jc w:val="center"/>
              <w:rPr>
                <w:rFonts w:ascii="Arial" w:hAnsi="Arial" w:cs="Arial"/>
              </w:rPr>
            </w:pPr>
            <w:r w:rsidRPr="00C8515E">
              <w:rPr>
                <w:rFonts w:ascii="Arial" w:hAnsi="Arial" w:cs="Arial"/>
              </w:rPr>
              <w:t>(-0.004 to 0.1)</w:t>
            </w:r>
          </w:p>
          <w:p w14:paraId="0F316D76" w14:textId="77777777" w:rsidR="00B64AC9" w:rsidRPr="00C8515E" w:rsidRDefault="00B64AC9" w:rsidP="00F633D5">
            <w:pPr>
              <w:jc w:val="center"/>
              <w:rPr>
                <w:rFonts w:ascii="Arial" w:hAnsi="Arial" w:cs="Arial"/>
              </w:rPr>
            </w:pPr>
            <w:r w:rsidRPr="00C8515E">
              <w:rPr>
                <w:rFonts w:ascii="Arial" w:hAnsi="Arial" w:cs="Arial"/>
              </w:rPr>
              <w:t>p=0.07</w:t>
            </w:r>
          </w:p>
        </w:tc>
      </w:tr>
      <w:tr w:rsidR="00B64AC9" w:rsidRPr="00C8515E" w14:paraId="3020B447" w14:textId="77777777" w:rsidTr="005B11C9">
        <w:tc>
          <w:tcPr>
            <w:tcW w:w="0" w:type="auto"/>
          </w:tcPr>
          <w:p w14:paraId="3852D57C" w14:textId="77777777" w:rsidR="00B64AC9" w:rsidRPr="00C8515E" w:rsidRDefault="00B64AC9" w:rsidP="00F633D5">
            <w:pPr>
              <w:rPr>
                <w:rFonts w:ascii="Arial" w:hAnsi="Arial" w:cs="Arial"/>
              </w:rPr>
            </w:pPr>
            <w:r w:rsidRPr="00C8515E">
              <w:rPr>
                <w:rFonts w:ascii="Arial" w:hAnsi="Arial" w:cs="Arial"/>
              </w:rPr>
              <w:t>Acute Kidney Injury</w:t>
            </w:r>
          </w:p>
        </w:tc>
        <w:tc>
          <w:tcPr>
            <w:tcW w:w="0" w:type="auto"/>
          </w:tcPr>
          <w:p w14:paraId="5CD4BA01" w14:textId="77777777" w:rsidR="00B64AC9" w:rsidRPr="00C8515E" w:rsidRDefault="00B64AC9" w:rsidP="00F633D5">
            <w:pPr>
              <w:rPr>
                <w:rFonts w:ascii="Arial" w:hAnsi="Arial" w:cs="Arial"/>
              </w:rPr>
            </w:pPr>
            <w:r w:rsidRPr="00C8515E">
              <w:rPr>
                <w:rFonts w:ascii="Arial" w:hAnsi="Arial" w:cs="Arial"/>
              </w:rPr>
              <w:t>274,168</w:t>
            </w:r>
          </w:p>
        </w:tc>
        <w:tc>
          <w:tcPr>
            <w:tcW w:w="0" w:type="auto"/>
          </w:tcPr>
          <w:p w14:paraId="67F0AEE6" w14:textId="77777777" w:rsidR="00B64AC9" w:rsidRPr="00C8515E" w:rsidRDefault="00B64AC9" w:rsidP="00F633D5">
            <w:pPr>
              <w:jc w:val="center"/>
              <w:rPr>
                <w:rFonts w:ascii="Arial" w:hAnsi="Arial" w:cs="Arial"/>
              </w:rPr>
            </w:pPr>
            <w:r w:rsidRPr="00C8515E">
              <w:rPr>
                <w:rFonts w:ascii="Arial" w:hAnsi="Arial" w:cs="Arial"/>
              </w:rPr>
              <w:t>0.01</w:t>
            </w:r>
          </w:p>
          <w:p w14:paraId="17729509" w14:textId="77777777" w:rsidR="00B64AC9" w:rsidRPr="00C8515E" w:rsidRDefault="00B64AC9" w:rsidP="00F633D5">
            <w:pPr>
              <w:jc w:val="center"/>
              <w:rPr>
                <w:rFonts w:ascii="Arial" w:hAnsi="Arial" w:cs="Arial"/>
              </w:rPr>
            </w:pPr>
            <w:r w:rsidRPr="00C8515E">
              <w:rPr>
                <w:rFonts w:ascii="Arial" w:hAnsi="Arial" w:cs="Arial"/>
              </w:rPr>
              <w:t>(-0.4 to 0.5)</w:t>
            </w:r>
          </w:p>
          <w:p w14:paraId="21CC27D4" w14:textId="77777777" w:rsidR="00B64AC9" w:rsidRPr="00C8515E" w:rsidRDefault="00B64AC9" w:rsidP="00F633D5">
            <w:pPr>
              <w:jc w:val="center"/>
              <w:rPr>
                <w:rFonts w:ascii="Arial" w:hAnsi="Arial" w:cs="Arial"/>
              </w:rPr>
            </w:pPr>
            <w:r w:rsidRPr="00C8515E">
              <w:rPr>
                <w:rFonts w:ascii="Arial" w:hAnsi="Arial" w:cs="Arial"/>
              </w:rPr>
              <w:t>p=0.95</w:t>
            </w:r>
          </w:p>
        </w:tc>
      </w:tr>
      <w:tr w:rsidR="00B64AC9" w:rsidRPr="00C8515E" w14:paraId="71C3D259" w14:textId="77777777" w:rsidTr="005B11C9">
        <w:tc>
          <w:tcPr>
            <w:tcW w:w="0" w:type="auto"/>
          </w:tcPr>
          <w:p w14:paraId="71B0CD79" w14:textId="77777777" w:rsidR="00B64AC9" w:rsidRPr="00C8515E" w:rsidRDefault="00B64AC9" w:rsidP="00F633D5">
            <w:pPr>
              <w:rPr>
                <w:rFonts w:ascii="Arial" w:hAnsi="Arial" w:cs="Arial"/>
              </w:rPr>
            </w:pPr>
            <w:r w:rsidRPr="00C8515E">
              <w:rPr>
                <w:rFonts w:ascii="Arial" w:hAnsi="Arial" w:cs="Arial"/>
              </w:rPr>
              <w:t>Post-operative respiratory failure</w:t>
            </w:r>
          </w:p>
        </w:tc>
        <w:tc>
          <w:tcPr>
            <w:tcW w:w="0" w:type="auto"/>
          </w:tcPr>
          <w:p w14:paraId="26C79850" w14:textId="77777777" w:rsidR="00B64AC9" w:rsidRPr="00C8515E" w:rsidRDefault="00B64AC9" w:rsidP="00F633D5">
            <w:pPr>
              <w:jc w:val="center"/>
              <w:rPr>
                <w:rFonts w:ascii="Arial" w:hAnsi="Arial" w:cs="Arial"/>
              </w:rPr>
            </w:pPr>
            <w:r w:rsidRPr="00C8515E">
              <w:rPr>
                <w:rFonts w:ascii="Arial" w:hAnsi="Arial" w:cs="Arial"/>
              </w:rPr>
              <w:t>231,026</w:t>
            </w:r>
          </w:p>
        </w:tc>
        <w:tc>
          <w:tcPr>
            <w:tcW w:w="0" w:type="auto"/>
          </w:tcPr>
          <w:p w14:paraId="522B0A8E" w14:textId="77777777" w:rsidR="00B64AC9" w:rsidRPr="00C8515E" w:rsidRDefault="00B64AC9" w:rsidP="00F633D5">
            <w:pPr>
              <w:jc w:val="center"/>
              <w:rPr>
                <w:rFonts w:ascii="Arial" w:hAnsi="Arial" w:cs="Arial"/>
              </w:rPr>
            </w:pPr>
            <w:r w:rsidRPr="00C8515E">
              <w:rPr>
                <w:rFonts w:ascii="Arial" w:hAnsi="Arial" w:cs="Arial"/>
              </w:rPr>
              <w:t>0.1</w:t>
            </w:r>
          </w:p>
          <w:p w14:paraId="5840CD17" w14:textId="77777777" w:rsidR="00B64AC9" w:rsidRPr="00C8515E" w:rsidRDefault="00B64AC9" w:rsidP="00F633D5">
            <w:pPr>
              <w:jc w:val="center"/>
              <w:rPr>
                <w:rFonts w:ascii="Arial" w:hAnsi="Arial" w:cs="Arial"/>
              </w:rPr>
            </w:pPr>
            <w:r w:rsidRPr="00C8515E">
              <w:rPr>
                <w:rFonts w:ascii="Arial" w:hAnsi="Arial" w:cs="Arial"/>
              </w:rPr>
              <w:t>(-0.1 to 0.4)</w:t>
            </w:r>
          </w:p>
          <w:p w14:paraId="4908CD96" w14:textId="77777777" w:rsidR="00B64AC9" w:rsidRPr="00C8515E" w:rsidRDefault="00B64AC9" w:rsidP="00F633D5">
            <w:pPr>
              <w:jc w:val="center"/>
              <w:rPr>
                <w:rFonts w:ascii="Arial" w:hAnsi="Arial" w:cs="Arial"/>
              </w:rPr>
            </w:pPr>
            <w:r w:rsidRPr="00C8515E">
              <w:rPr>
                <w:rFonts w:ascii="Arial" w:hAnsi="Arial" w:cs="Arial"/>
              </w:rPr>
              <w:t>p=0.36</w:t>
            </w:r>
          </w:p>
        </w:tc>
      </w:tr>
      <w:tr w:rsidR="00B64AC9" w:rsidRPr="00C8515E" w14:paraId="404AFA18" w14:textId="77777777" w:rsidTr="005B11C9">
        <w:tc>
          <w:tcPr>
            <w:tcW w:w="0" w:type="auto"/>
          </w:tcPr>
          <w:p w14:paraId="00699EE4" w14:textId="77777777" w:rsidR="00B64AC9" w:rsidRPr="00C8515E" w:rsidRDefault="00B64AC9" w:rsidP="00F633D5">
            <w:pPr>
              <w:rPr>
                <w:rFonts w:ascii="Arial" w:hAnsi="Arial" w:cs="Arial"/>
              </w:rPr>
            </w:pPr>
            <w:r w:rsidRPr="00C8515E">
              <w:rPr>
                <w:rFonts w:ascii="Arial" w:hAnsi="Arial" w:cs="Arial"/>
              </w:rPr>
              <w:t>Transfusion Reaction</w:t>
            </w:r>
          </w:p>
        </w:tc>
        <w:tc>
          <w:tcPr>
            <w:tcW w:w="0" w:type="auto"/>
          </w:tcPr>
          <w:p w14:paraId="6F013C5C" w14:textId="77777777" w:rsidR="00B64AC9" w:rsidRPr="00C8515E" w:rsidRDefault="00B64AC9" w:rsidP="00F633D5">
            <w:pPr>
              <w:jc w:val="center"/>
              <w:rPr>
                <w:rFonts w:ascii="Arial" w:hAnsi="Arial" w:cs="Arial"/>
              </w:rPr>
            </w:pPr>
            <w:r w:rsidRPr="00C8515E">
              <w:rPr>
                <w:rFonts w:ascii="Arial" w:hAnsi="Arial" w:cs="Arial"/>
              </w:rPr>
              <w:t>441,076</w:t>
            </w:r>
          </w:p>
        </w:tc>
        <w:tc>
          <w:tcPr>
            <w:tcW w:w="0" w:type="auto"/>
          </w:tcPr>
          <w:p w14:paraId="1D7583B8" w14:textId="77777777" w:rsidR="00B64AC9" w:rsidRPr="00C8515E" w:rsidRDefault="00B64AC9" w:rsidP="00F633D5">
            <w:pPr>
              <w:jc w:val="center"/>
              <w:rPr>
                <w:rFonts w:ascii="Arial" w:hAnsi="Arial" w:cs="Arial"/>
              </w:rPr>
            </w:pPr>
            <w:r w:rsidRPr="00C8515E">
              <w:rPr>
                <w:rFonts w:ascii="Arial" w:hAnsi="Arial" w:cs="Arial"/>
              </w:rPr>
              <w:t>**</w:t>
            </w:r>
          </w:p>
        </w:tc>
      </w:tr>
      <w:tr w:rsidR="00B64AC9" w:rsidRPr="00C8515E" w14:paraId="39AF8091" w14:textId="77777777" w:rsidTr="005B11C9">
        <w:tc>
          <w:tcPr>
            <w:tcW w:w="0" w:type="auto"/>
          </w:tcPr>
          <w:p w14:paraId="176932CD" w14:textId="77777777" w:rsidR="00B64AC9" w:rsidRPr="00C8515E" w:rsidRDefault="00B64AC9" w:rsidP="00F633D5">
            <w:pPr>
              <w:rPr>
                <w:rFonts w:ascii="Arial" w:hAnsi="Arial" w:cs="Arial"/>
              </w:rPr>
            </w:pPr>
            <w:r w:rsidRPr="00C8515E">
              <w:rPr>
                <w:rFonts w:ascii="Arial" w:hAnsi="Arial" w:cs="Arial"/>
              </w:rPr>
              <w:t>Anesthesia Complication</w:t>
            </w:r>
          </w:p>
        </w:tc>
        <w:tc>
          <w:tcPr>
            <w:tcW w:w="0" w:type="auto"/>
          </w:tcPr>
          <w:p w14:paraId="39CEB246" w14:textId="77777777" w:rsidR="00B64AC9" w:rsidRPr="00C8515E" w:rsidRDefault="00B64AC9" w:rsidP="00F633D5">
            <w:pPr>
              <w:jc w:val="center"/>
              <w:rPr>
                <w:rFonts w:ascii="Arial" w:hAnsi="Arial" w:cs="Arial"/>
              </w:rPr>
            </w:pPr>
            <w:r w:rsidRPr="00C8515E">
              <w:rPr>
                <w:rFonts w:ascii="Arial" w:hAnsi="Arial" w:cs="Arial"/>
              </w:rPr>
              <w:t>443,098</w:t>
            </w:r>
          </w:p>
        </w:tc>
        <w:tc>
          <w:tcPr>
            <w:tcW w:w="0" w:type="auto"/>
          </w:tcPr>
          <w:p w14:paraId="4999EC10" w14:textId="77777777" w:rsidR="00B64AC9" w:rsidRPr="00C8515E" w:rsidRDefault="00B64AC9" w:rsidP="00F633D5">
            <w:pPr>
              <w:jc w:val="center"/>
              <w:rPr>
                <w:rFonts w:ascii="Arial" w:hAnsi="Arial" w:cs="Arial"/>
              </w:rPr>
            </w:pPr>
            <w:r w:rsidRPr="00C8515E">
              <w:rPr>
                <w:rFonts w:ascii="Arial" w:hAnsi="Arial" w:cs="Arial"/>
              </w:rPr>
              <w:t>-0.006</w:t>
            </w:r>
          </w:p>
          <w:p w14:paraId="31020A57" w14:textId="77777777" w:rsidR="00B64AC9" w:rsidRPr="00C8515E" w:rsidRDefault="00B64AC9" w:rsidP="00F633D5">
            <w:pPr>
              <w:jc w:val="center"/>
              <w:rPr>
                <w:rFonts w:ascii="Arial" w:hAnsi="Arial" w:cs="Arial"/>
              </w:rPr>
            </w:pPr>
            <w:r w:rsidRPr="00C8515E">
              <w:rPr>
                <w:rFonts w:ascii="Arial" w:hAnsi="Arial" w:cs="Arial"/>
              </w:rPr>
              <w:t>(-0.05, 0.04)</w:t>
            </w:r>
          </w:p>
          <w:p w14:paraId="36536DFE" w14:textId="77777777" w:rsidR="00B64AC9" w:rsidRPr="00C8515E" w:rsidRDefault="00B64AC9" w:rsidP="00F633D5">
            <w:pPr>
              <w:jc w:val="center"/>
              <w:rPr>
                <w:rFonts w:ascii="Arial" w:hAnsi="Arial" w:cs="Arial"/>
              </w:rPr>
            </w:pPr>
            <w:r w:rsidRPr="00C8515E">
              <w:rPr>
                <w:rFonts w:ascii="Arial" w:hAnsi="Arial" w:cs="Arial"/>
              </w:rPr>
              <w:t>p=0.78</w:t>
            </w:r>
          </w:p>
        </w:tc>
      </w:tr>
      <w:tr w:rsidR="00B64AC9" w:rsidRPr="00C8515E" w14:paraId="72B7D75C" w14:textId="77777777" w:rsidTr="005B11C9">
        <w:tc>
          <w:tcPr>
            <w:tcW w:w="0" w:type="auto"/>
            <w:gridSpan w:val="3"/>
          </w:tcPr>
          <w:p w14:paraId="1CE4059B" w14:textId="2E4247B3" w:rsidR="00B64AC9" w:rsidRPr="00C8515E" w:rsidRDefault="005B11C9" w:rsidP="00F633D5">
            <w:pPr>
              <w:rPr>
                <w:rFonts w:ascii="Arial" w:hAnsi="Arial" w:cs="Arial"/>
              </w:rPr>
            </w:pPr>
            <w:r>
              <w:rPr>
                <w:rFonts w:ascii="Arial" w:hAnsi="Arial" w:cs="Arial"/>
                <w:b/>
              </w:rPr>
              <w:t>Table A.3</w:t>
            </w:r>
            <w:r w:rsidR="00B64AC9" w:rsidRPr="00C8515E">
              <w:rPr>
                <w:rFonts w:ascii="Arial" w:hAnsi="Arial" w:cs="Arial"/>
              </w:rPr>
              <w:t xml:space="preserve"> presents the results of analyses examining the association between the given outcome and the use of an anesthesia care team with an anesthesiologist assistant (compared to care teams with nurse anesthetists).  The analyses used are the same multivariable analyses described in the methods section.  The reported regression coefficient is the absolute (percentage point) difference in the incidence of the given outcome associated with care teams that used anesthesiologist assistants.  For example, in the case of death among patients admitted with low-risk DRGs, the incidence of death was 0.04 percentage points higher among anesthesia care teams with anesthesiologist assistants, compared to teams with nurse </w:t>
            </w:r>
            <w:r w:rsidR="00B64AC9">
              <w:rPr>
                <w:rFonts w:ascii="Arial" w:hAnsi="Arial" w:cs="Arial"/>
              </w:rPr>
              <w:t>anesthetists.  95% confidence i</w:t>
            </w:r>
            <w:r w:rsidR="00B64AC9" w:rsidRPr="00C8515E">
              <w:rPr>
                <w:rFonts w:ascii="Arial" w:hAnsi="Arial" w:cs="Arial"/>
              </w:rPr>
              <w:t>n</w:t>
            </w:r>
            <w:r w:rsidR="00B64AC9">
              <w:rPr>
                <w:rFonts w:ascii="Arial" w:hAnsi="Arial" w:cs="Arial"/>
              </w:rPr>
              <w:t>t</w:t>
            </w:r>
            <w:r w:rsidR="00B64AC9" w:rsidRPr="00C8515E">
              <w:rPr>
                <w:rFonts w:ascii="Arial" w:hAnsi="Arial" w:cs="Arial"/>
              </w:rPr>
              <w:t xml:space="preserve">ervals shown in parentheses are adjusted for clustering at the hospital level.   **outcome could not be studied as it occurred only once in the entire sample.  </w:t>
            </w:r>
          </w:p>
        </w:tc>
      </w:tr>
    </w:tbl>
    <w:p w14:paraId="375DCA75" w14:textId="242CB9DB" w:rsidR="00B64AC9" w:rsidRDefault="00B64AC9" w:rsidP="00852AD1">
      <w:pPr>
        <w:spacing w:line="480" w:lineRule="auto"/>
        <w:rPr>
          <w:b/>
          <w:sz w:val="22"/>
          <w:szCs w:val="22"/>
        </w:rPr>
      </w:pPr>
    </w:p>
    <w:p w14:paraId="62E2C7BF" w14:textId="77777777" w:rsidR="00B64AC9" w:rsidRPr="00B64AC9" w:rsidRDefault="00B64AC9" w:rsidP="00852AD1">
      <w:pPr>
        <w:spacing w:line="480" w:lineRule="auto"/>
        <w:rPr>
          <w:b/>
          <w:sz w:val="22"/>
          <w:szCs w:val="22"/>
        </w:rPr>
      </w:pPr>
    </w:p>
    <w:p w14:paraId="634391BD" w14:textId="77777777" w:rsidR="00852AD1" w:rsidRDefault="00852AD1">
      <w:pPr>
        <w:rPr>
          <w:b/>
          <w:sz w:val="22"/>
          <w:szCs w:val="22"/>
        </w:rPr>
      </w:pPr>
      <w:r>
        <w:rPr>
          <w:b/>
          <w:sz w:val="22"/>
          <w:szCs w:val="22"/>
        </w:rPr>
        <w:br w:type="page"/>
      </w:r>
    </w:p>
    <w:p w14:paraId="4890BB69" w14:textId="484A3E44" w:rsidR="004971D7" w:rsidRPr="00852AD1" w:rsidRDefault="006D4D3C" w:rsidP="0082611E">
      <w:pPr>
        <w:spacing w:after="160" w:line="259" w:lineRule="auto"/>
        <w:rPr>
          <w:b/>
          <w:sz w:val="22"/>
          <w:szCs w:val="22"/>
        </w:rPr>
      </w:pPr>
      <w:r w:rsidRPr="00852AD1">
        <w:rPr>
          <w:b/>
          <w:sz w:val="22"/>
          <w:szCs w:val="22"/>
        </w:rPr>
        <w:lastRenderedPageBreak/>
        <w:t>References</w:t>
      </w:r>
    </w:p>
    <w:p w14:paraId="78FA6DF0" w14:textId="0D786978" w:rsidR="004971D7" w:rsidRPr="00852AD1" w:rsidRDefault="004971D7" w:rsidP="00852AD1">
      <w:pPr>
        <w:pStyle w:val="EndNoteBibliography"/>
        <w:spacing w:line="480" w:lineRule="auto"/>
        <w:rPr>
          <w:rFonts w:asciiTheme="minorHAnsi" w:hAnsiTheme="minorHAnsi"/>
          <w:noProof/>
          <w:sz w:val="22"/>
        </w:rPr>
      </w:pPr>
      <w:r w:rsidRPr="00852AD1">
        <w:rPr>
          <w:rFonts w:asciiTheme="minorHAnsi" w:hAnsiTheme="minorHAnsi"/>
          <w:sz w:val="22"/>
          <w:szCs w:val="22"/>
        </w:rPr>
        <w:fldChar w:fldCharType="begin"/>
      </w:r>
      <w:r w:rsidRPr="00852AD1">
        <w:rPr>
          <w:rFonts w:asciiTheme="minorHAnsi" w:hAnsiTheme="minorHAnsi"/>
          <w:sz w:val="22"/>
          <w:szCs w:val="22"/>
        </w:rPr>
        <w:instrText xml:space="preserve"> ADDIN EN.REFLIST </w:instrText>
      </w:r>
      <w:r w:rsidRPr="00852AD1">
        <w:rPr>
          <w:rFonts w:asciiTheme="minorHAnsi" w:hAnsiTheme="minorHAnsi"/>
          <w:sz w:val="22"/>
          <w:szCs w:val="22"/>
        </w:rPr>
        <w:fldChar w:fldCharType="separate"/>
      </w:r>
      <w:r w:rsidRPr="00852AD1">
        <w:rPr>
          <w:rFonts w:asciiTheme="minorHAnsi" w:hAnsiTheme="minorHAnsi"/>
          <w:noProof/>
          <w:sz w:val="22"/>
        </w:rPr>
        <w:t>1.</w:t>
      </w:r>
      <w:r w:rsidRPr="00852AD1">
        <w:rPr>
          <w:rFonts w:asciiTheme="minorHAnsi" w:hAnsiTheme="minorHAnsi"/>
          <w:noProof/>
          <w:sz w:val="22"/>
        </w:rPr>
        <w:tab/>
        <w:t xml:space="preserve">Patient Safety Indicators Overview. </w:t>
      </w:r>
      <w:hyperlink r:id="rId7" w:history="1">
        <w:r w:rsidRPr="00852AD1">
          <w:rPr>
            <w:rStyle w:val="Hyperlink"/>
            <w:rFonts w:asciiTheme="minorHAnsi" w:hAnsiTheme="minorHAnsi"/>
            <w:noProof/>
            <w:sz w:val="22"/>
          </w:rPr>
          <w:t>https://www.qualityindicators.ahrq.gov/Modules/psi_resources.aspx</w:t>
        </w:r>
      </w:hyperlink>
      <w:r w:rsidRPr="00852AD1">
        <w:rPr>
          <w:rFonts w:asciiTheme="minorHAnsi" w:hAnsiTheme="minorHAnsi"/>
          <w:noProof/>
          <w:sz w:val="22"/>
        </w:rPr>
        <w:t xml:space="preserve"> on May 15, 2017.</w:t>
      </w:r>
    </w:p>
    <w:p w14:paraId="6A1D979B" w14:textId="77777777" w:rsidR="004971D7" w:rsidRPr="00852AD1" w:rsidRDefault="004971D7" w:rsidP="00852AD1">
      <w:pPr>
        <w:pStyle w:val="EndNoteBibliography"/>
        <w:spacing w:line="480" w:lineRule="auto"/>
        <w:rPr>
          <w:rFonts w:asciiTheme="minorHAnsi" w:hAnsiTheme="minorHAnsi"/>
          <w:noProof/>
          <w:sz w:val="22"/>
        </w:rPr>
      </w:pPr>
      <w:r w:rsidRPr="00852AD1">
        <w:rPr>
          <w:rFonts w:asciiTheme="minorHAnsi" w:hAnsiTheme="minorHAnsi"/>
          <w:noProof/>
          <w:sz w:val="22"/>
        </w:rPr>
        <w:t>2.</w:t>
      </w:r>
      <w:r w:rsidRPr="00852AD1">
        <w:rPr>
          <w:rFonts w:asciiTheme="minorHAnsi" w:hAnsiTheme="minorHAnsi"/>
          <w:noProof/>
          <w:sz w:val="22"/>
        </w:rPr>
        <w:tab/>
        <w:t>Sun E, Baker LC: Concentration In Orthopedic Markets Was Associated With A 7 Percent Increase In Physician Fees For Total Knee Replacements. Health Aff (Millwood) 2015; 34: 916-21</w:t>
      </w:r>
    </w:p>
    <w:p w14:paraId="29AA9F20" w14:textId="77777777" w:rsidR="004971D7" w:rsidRPr="00852AD1" w:rsidRDefault="004971D7" w:rsidP="00852AD1">
      <w:pPr>
        <w:pStyle w:val="EndNoteBibliography"/>
        <w:spacing w:line="480" w:lineRule="auto"/>
        <w:rPr>
          <w:rFonts w:asciiTheme="minorHAnsi" w:hAnsiTheme="minorHAnsi"/>
          <w:noProof/>
          <w:sz w:val="22"/>
        </w:rPr>
      </w:pPr>
      <w:r w:rsidRPr="00852AD1">
        <w:rPr>
          <w:rFonts w:asciiTheme="minorHAnsi" w:hAnsiTheme="minorHAnsi"/>
          <w:noProof/>
          <w:sz w:val="22"/>
        </w:rPr>
        <w:t>3.</w:t>
      </w:r>
      <w:r w:rsidRPr="00852AD1">
        <w:rPr>
          <w:rFonts w:asciiTheme="minorHAnsi" w:hAnsiTheme="minorHAnsi"/>
          <w:noProof/>
          <w:sz w:val="22"/>
        </w:rPr>
        <w:tab/>
        <w:t>Sun EC, Dexter F, Macario A, Miller TR, Baker LC: No significant association between anesthesia group concentration and private insurer payments in the United States. Anesthesiology 2015; 123: 507-14</w:t>
      </w:r>
    </w:p>
    <w:p w14:paraId="23D4E8A7" w14:textId="77777777" w:rsidR="004971D7" w:rsidRPr="00852AD1" w:rsidRDefault="004971D7" w:rsidP="00852AD1">
      <w:pPr>
        <w:pStyle w:val="EndNoteBibliography"/>
        <w:spacing w:line="480" w:lineRule="auto"/>
        <w:rPr>
          <w:rFonts w:asciiTheme="minorHAnsi" w:hAnsiTheme="minorHAnsi"/>
          <w:noProof/>
          <w:sz w:val="22"/>
        </w:rPr>
      </w:pPr>
      <w:r w:rsidRPr="00852AD1">
        <w:rPr>
          <w:rFonts w:asciiTheme="minorHAnsi" w:hAnsiTheme="minorHAnsi"/>
          <w:noProof/>
          <w:sz w:val="22"/>
        </w:rPr>
        <w:t>4.</w:t>
      </w:r>
      <w:r w:rsidRPr="00852AD1">
        <w:rPr>
          <w:rFonts w:asciiTheme="minorHAnsi" w:hAnsiTheme="minorHAnsi"/>
          <w:noProof/>
          <w:sz w:val="22"/>
        </w:rPr>
        <w:tab/>
        <w:t>Baker LC, Bundorf MK, Royalty AB, Levin Z: Physician practice competition and prices paid by private insurers for office visits. JAMA 2014; 312: 1653-62</w:t>
      </w:r>
    </w:p>
    <w:p w14:paraId="7F2D8510" w14:textId="77777777" w:rsidR="004971D7" w:rsidRPr="00852AD1" w:rsidRDefault="004971D7" w:rsidP="00852AD1">
      <w:pPr>
        <w:pStyle w:val="EndNoteBibliography"/>
        <w:spacing w:line="480" w:lineRule="auto"/>
        <w:rPr>
          <w:rFonts w:asciiTheme="minorHAnsi" w:hAnsiTheme="minorHAnsi"/>
          <w:noProof/>
          <w:sz w:val="22"/>
        </w:rPr>
      </w:pPr>
      <w:r w:rsidRPr="00852AD1">
        <w:rPr>
          <w:rFonts w:asciiTheme="minorHAnsi" w:hAnsiTheme="minorHAnsi"/>
          <w:noProof/>
          <w:sz w:val="22"/>
        </w:rPr>
        <w:t>5.</w:t>
      </w:r>
      <w:r w:rsidRPr="00852AD1">
        <w:rPr>
          <w:rFonts w:asciiTheme="minorHAnsi" w:hAnsiTheme="minorHAnsi"/>
          <w:noProof/>
          <w:sz w:val="22"/>
        </w:rPr>
        <w:tab/>
        <w:t>Allison P: Convergence Failures in Logistic Regression. SAS Global Forum 2008; Paper 360-2008</w:t>
      </w:r>
    </w:p>
    <w:p w14:paraId="02C685B6" w14:textId="77777777" w:rsidR="004971D7" w:rsidRPr="00852AD1" w:rsidRDefault="004971D7" w:rsidP="00852AD1">
      <w:pPr>
        <w:pStyle w:val="EndNoteBibliography"/>
        <w:spacing w:line="480" w:lineRule="auto"/>
        <w:rPr>
          <w:rFonts w:asciiTheme="minorHAnsi" w:hAnsiTheme="minorHAnsi"/>
          <w:noProof/>
          <w:sz w:val="22"/>
        </w:rPr>
      </w:pPr>
      <w:r w:rsidRPr="00852AD1">
        <w:rPr>
          <w:rFonts w:asciiTheme="minorHAnsi" w:hAnsiTheme="minorHAnsi"/>
          <w:noProof/>
          <w:sz w:val="22"/>
        </w:rPr>
        <w:t>6.</w:t>
      </w:r>
      <w:r w:rsidRPr="00852AD1">
        <w:rPr>
          <w:rFonts w:asciiTheme="minorHAnsi" w:hAnsiTheme="minorHAnsi"/>
          <w:noProof/>
          <w:sz w:val="22"/>
        </w:rPr>
        <w:tab/>
        <w:t>Lewbel A, Dong Y, Yang TT: Comparing features of convenient estimators for binary choice models with endogenous regressors. Canadian Journal of Economics 2012; 45: 809-829</w:t>
      </w:r>
    </w:p>
    <w:p w14:paraId="055245B0" w14:textId="77777777" w:rsidR="004971D7" w:rsidRPr="00852AD1" w:rsidRDefault="004971D7" w:rsidP="00852AD1">
      <w:pPr>
        <w:pStyle w:val="EndNoteBibliography"/>
        <w:spacing w:line="480" w:lineRule="auto"/>
        <w:rPr>
          <w:rFonts w:asciiTheme="minorHAnsi" w:hAnsiTheme="minorHAnsi"/>
          <w:noProof/>
          <w:sz w:val="22"/>
        </w:rPr>
      </w:pPr>
      <w:r w:rsidRPr="00852AD1">
        <w:rPr>
          <w:rFonts w:asciiTheme="minorHAnsi" w:hAnsiTheme="minorHAnsi"/>
          <w:noProof/>
          <w:sz w:val="22"/>
        </w:rPr>
        <w:t>7.</w:t>
      </w:r>
      <w:r w:rsidRPr="00852AD1">
        <w:rPr>
          <w:rFonts w:asciiTheme="minorHAnsi" w:hAnsiTheme="minorHAnsi"/>
          <w:noProof/>
          <w:sz w:val="22"/>
        </w:rPr>
        <w:tab/>
        <w:t>Greene W: The behaviour of the maximum likelihood estimator of limited dependent variable models in the presence of fixed effects. The Econometrics Journal 2004; 7: 98-119</w:t>
      </w:r>
    </w:p>
    <w:p w14:paraId="2CA97129" w14:textId="77777777" w:rsidR="004971D7" w:rsidRPr="00852AD1" w:rsidRDefault="004971D7" w:rsidP="00852AD1">
      <w:pPr>
        <w:pStyle w:val="EndNoteBibliography"/>
        <w:spacing w:line="480" w:lineRule="auto"/>
        <w:rPr>
          <w:rFonts w:asciiTheme="minorHAnsi" w:hAnsiTheme="minorHAnsi"/>
          <w:noProof/>
          <w:sz w:val="22"/>
        </w:rPr>
      </w:pPr>
      <w:r w:rsidRPr="00852AD1">
        <w:rPr>
          <w:rFonts w:asciiTheme="minorHAnsi" w:hAnsiTheme="minorHAnsi"/>
          <w:noProof/>
          <w:sz w:val="22"/>
        </w:rPr>
        <w:t>8.</w:t>
      </w:r>
      <w:r w:rsidRPr="00852AD1">
        <w:rPr>
          <w:rFonts w:asciiTheme="minorHAnsi" w:hAnsiTheme="minorHAnsi"/>
          <w:noProof/>
          <w:sz w:val="22"/>
        </w:rPr>
        <w:tab/>
        <w:t>Wooldridge JM: Cluster-Sample Methods in Applied Econometrics. The American Economic Review 2003; 93: 133-138</w:t>
      </w:r>
    </w:p>
    <w:p w14:paraId="6FF66F11" w14:textId="77777777" w:rsidR="004971D7" w:rsidRPr="00852AD1" w:rsidRDefault="004971D7" w:rsidP="00852AD1">
      <w:pPr>
        <w:pStyle w:val="EndNoteBibliography"/>
        <w:spacing w:line="480" w:lineRule="auto"/>
        <w:rPr>
          <w:rFonts w:asciiTheme="minorHAnsi" w:hAnsiTheme="minorHAnsi"/>
          <w:noProof/>
          <w:sz w:val="22"/>
        </w:rPr>
      </w:pPr>
      <w:r w:rsidRPr="00852AD1">
        <w:rPr>
          <w:rFonts w:asciiTheme="minorHAnsi" w:hAnsiTheme="minorHAnsi"/>
          <w:noProof/>
          <w:sz w:val="22"/>
        </w:rPr>
        <w:t>9.</w:t>
      </w:r>
      <w:r w:rsidRPr="00852AD1">
        <w:rPr>
          <w:rFonts w:asciiTheme="minorHAnsi" w:hAnsiTheme="minorHAnsi"/>
          <w:noProof/>
          <w:sz w:val="22"/>
        </w:rPr>
        <w:tab/>
        <w:t>Bertrand M, Duflo E, Mullainathan S: How Much Should We Trust Differences-in-Differences Estimates? The Quarterly Journal of Economics 2004; 119: 249-275</w:t>
      </w:r>
    </w:p>
    <w:p w14:paraId="64812605" w14:textId="77777777" w:rsidR="004971D7" w:rsidRPr="00852AD1" w:rsidRDefault="004971D7" w:rsidP="00852AD1">
      <w:pPr>
        <w:pStyle w:val="EndNoteBibliography"/>
        <w:spacing w:line="480" w:lineRule="auto"/>
        <w:rPr>
          <w:rFonts w:asciiTheme="minorHAnsi" w:hAnsiTheme="minorHAnsi"/>
          <w:noProof/>
          <w:sz w:val="22"/>
        </w:rPr>
      </w:pPr>
      <w:r w:rsidRPr="00852AD1">
        <w:rPr>
          <w:rFonts w:asciiTheme="minorHAnsi" w:hAnsiTheme="minorHAnsi"/>
          <w:noProof/>
          <w:sz w:val="22"/>
        </w:rPr>
        <w:t>10.</w:t>
      </w:r>
      <w:r w:rsidRPr="00852AD1">
        <w:rPr>
          <w:rFonts w:asciiTheme="minorHAnsi" w:hAnsiTheme="minorHAnsi"/>
          <w:noProof/>
          <w:sz w:val="22"/>
        </w:rPr>
        <w:tab/>
        <w:t>Angrist JD, Pischke J-S: Most Harmless Econometrics: An Empiricist's Companion. Princeton, NJ, Princeton University Press, 2009</w:t>
      </w:r>
    </w:p>
    <w:p w14:paraId="673E5F46" w14:textId="77777777" w:rsidR="004971D7" w:rsidRPr="00852AD1" w:rsidRDefault="004971D7" w:rsidP="00852AD1">
      <w:pPr>
        <w:pStyle w:val="EndNoteBibliography"/>
        <w:spacing w:line="480" w:lineRule="auto"/>
        <w:rPr>
          <w:rFonts w:asciiTheme="minorHAnsi" w:hAnsiTheme="minorHAnsi"/>
          <w:noProof/>
          <w:sz w:val="22"/>
        </w:rPr>
      </w:pPr>
      <w:r w:rsidRPr="00852AD1">
        <w:rPr>
          <w:rFonts w:asciiTheme="minorHAnsi" w:hAnsiTheme="minorHAnsi"/>
          <w:noProof/>
          <w:sz w:val="22"/>
        </w:rPr>
        <w:t>11.</w:t>
      </w:r>
      <w:r w:rsidRPr="00852AD1">
        <w:rPr>
          <w:rFonts w:asciiTheme="minorHAnsi" w:hAnsiTheme="minorHAnsi"/>
          <w:noProof/>
          <w:sz w:val="22"/>
        </w:rPr>
        <w:tab/>
        <w:t>Stock J, Yogo M: Testing for Weak Instruments in Linear IV Regression. , Identification and Inference for Econometric Models. Edited by Andrews D. New York, Cambridge University Press, 2005, pp 80-108</w:t>
      </w:r>
    </w:p>
    <w:p w14:paraId="22724CE3" w14:textId="136365A0" w:rsidR="00324ACA" w:rsidRPr="00852AD1" w:rsidRDefault="004971D7" w:rsidP="00852AD1">
      <w:pPr>
        <w:spacing w:line="480" w:lineRule="auto"/>
        <w:rPr>
          <w:sz w:val="22"/>
          <w:szCs w:val="22"/>
        </w:rPr>
      </w:pPr>
      <w:r w:rsidRPr="00852AD1">
        <w:rPr>
          <w:sz w:val="22"/>
          <w:szCs w:val="22"/>
        </w:rPr>
        <w:lastRenderedPageBreak/>
        <w:fldChar w:fldCharType="end"/>
      </w:r>
      <w:bookmarkStart w:id="0" w:name="_GoBack"/>
      <w:bookmarkEnd w:id="0"/>
    </w:p>
    <w:sectPr w:rsidR="00324ACA" w:rsidRPr="00852AD1" w:rsidSect="00946C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05E07" w14:textId="77777777" w:rsidR="00961FEE" w:rsidRDefault="00961FEE" w:rsidP="003F0188">
      <w:r>
        <w:separator/>
      </w:r>
    </w:p>
  </w:endnote>
  <w:endnote w:type="continuationSeparator" w:id="0">
    <w:p w14:paraId="69E0EAB9" w14:textId="77777777" w:rsidR="00961FEE" w:rsidRDefault="00961FEE" w:rsidP="003F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C861B" w14:textId="77777777" w:rsidR="00961FEE" w:rsidRDefault="00961FEE" w:rsidP="003F0188">
      <w:r>
        <w:separator/>
      </w:r>
    </w:p>
  </w:footnote>
  <w:footnote w:type="continuationSeparator" w:id="0">
    <w:p w14:paraId="6499E310" w14:textId="77777777" w:rsidR="00961FEE" w:rsidRDefault="00961FEE" w:rsidP="003F0188">
      <w:r>
        <w:continuationSeparator/>
      </w:r>
    </w:p>
  </w:footnote>
  <w:footnote w:id="1">
    <w:p w14:paraId="3EC81CE4" w14:textId="77777777" w:rsidR="003F0188" w:rsidRPr="00366EE4" w:rsidRDefault="003F0188" w:rsidP="003F0188">
      <w:pPr>
        <w:pStyle w:val="FootnoteText"/>
        <w:rPr>
          <w:sz w:val="22"/>
        </w:rPr>
      </w:pPr>
      <w:r w:rsidRPr="00366EE4">
        <w:rPr>
          <w:rStyle w:val="FootnoteReference"/>
          <w:sz w:val="22"/>
        </w:rPr>
        <w:footnoteRef/>
      </w:r>
      <w:r w:rsidRPr="00366EE4">
        <w:rPr>
          <w:sz w:val="22"/>
        </w:rPr>
        <w:t xml:space="preserve"> In the United States, individual healthcare providers bill for procedures using the CPT code system, while institutions use the ICD code system to describe the procedures that were performed during the inpatient admission.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esthes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s2wfp0csdv0me90er5wp0kwprdsrzz29v0&quot;&gt;My EndNote Library_mac2&lt;record-ids&gt;&lt;item&gt;156&lt;/item&gt;&lt;item&gt;273&lt;/item&gt;&lt;item&gt;434&lt;/item&gt;&lt;item&gt;478&lt;/item&gt;&lt;item&gt;492&lt;/item&gt;&lt;item&gt;500&lt;/item&gt;&lt;item&gt;587&lt;/item&gt;&lt;item&gt;743&lt;/item&gt;&lt;/record-ids&gt;&lt;/item&gt;&lt;/Libraries&gt;"/>
  </w:docVars>
  <w:rsids>
    <w:rsidRoot w:val="00FF3B15"/>
    <w:rsid w:val="00004F5C"/>
    <w:rsid w:val="00011B3E"/>
    <w:rsid w:val="00025B00"/>
    <w:rsid w:val="00037DB7"/>
    <w:rsid w:val="00047237"/>
    <w:rsid w:val="00096740"/>
    <w:rsid w:val="000B52AE"/>
    <w:rsid w:val="000C31AF"/>
    <w:rsid w:val="000C5BB3"/>
    <w:rsid w:val="000D195E"/>
    <w:rsid w:val="000F608E"/>
    <w:rsid w:val="00120A81"/>
    <w:rsid w:val="001C650A"/>
    <w:rsid w:val="001D3E6A"/>
    <w:rsid w:val="001E18CD"/>
    <w:rsid w:val="001F4E3C"/>
    <w:rsid w:val="002135E4"/>
    <w:rsid w:val="00224DD9"/>
    <w:rsid w:val="00274538"/>
    <w:rsid w:val="00286B5A"/>
    <w:rsid w:val="00287102"/>
    <w:rsid w:val="00290DE1"/>
    <w:rsid w:val="002A5B96"/>
    <w:rsid w:val="002B4049"/>
    <w:rsid w:val="002D69DA"/>
    <w:rsid w:val="002E41A9"/>
    <w:rsid w:val="00320308"/>
    <w:rsid w:val="0036308A"/>
    <w:rsid w:val="00392801"/>
    <w:rsid w:val="003A12F3"/>
    <w:rsid w:val="003F0188"/>
    <w:rsid w:val="0042110D"/>
    <w:rsid w:val="00445D5E"/>
    <w:rsid w:val="00487F71"/>
    <w:rsid w:val="004971D7"/>
    <w:rsid w:val="004C0F8E"/>
    <w:rsid w:val="00503053"/>
    <w:rsid w:val="0051031C"/>
    <w:rsid w:val="00532035"/>
    <w:rsid w:val="005351A0"/>
    <w:rsid w:val="005720C0"/>
    <w:rsid w:val="005A3FCE"/>
    <w:rsid w:val="005B11C9"/>
    <w:rsid w:val="005D1B19"/>
    <w:rsid w:val="005D24DE"/>
    <w:rsid w:val="00622EEF"/>
    <w:rsid w:val="00625DCC"/>
    <w:rsid w:val="006D0B4D"/>
    <w:rsid w:val="006D4D3C"/>
    <w:rsid w:val="006F4687"/>
    <w:rsid w:val="007031FE"/>
    <w:rsid w:val="0070358A"/>
    <w:rsid w:val="0075275A"/>
    <w:rsid w:val="00765341"/>
    <w:rsid w:val="007762CF"/>
    <w:rsid w:val="0082611E"/>
    <w:rsid w:val="00826254"/>
    <w:rsid w:val="00830A86"/>
    <w:rsid w:val="00852AD1"/>
    <w:rsid w:val="008A56C7"/>
    <w:rsid w:val="008E0D4B"/>
    <w:rsid w:val="008E5C1A"/>
    <w:rsid w:val="0092274E"/>
    <w:rsid w:val="00924225"/>
    <w:rsid w:val="00946C10"/>
    <w:rsid w:val="00961FEE"/>
    <w:rsid w:val="009B6F88"/>
    <w:rsid w:val="009E7844"/>
    <w:rsid w:val="00A05666"/>
    <w:rsid w:val="00A22117"/>
    <w:rsid w:val="00AE5D75"/>
    <w:rsid w:val="00B0392E"/>
    <w:rsid w:val="00B32AC3"/>
    <w:rsid w:val="00B64AC9"/>
    <w:rsid w:val="00BE027F"/>
    <w:rsid w:val="00BE40F7"/>
    <w:rsid w:val="00BF2FD9"/>
    <w:rsid w:val="00C406E4"/>
    <w:rsid w:val="00C83BA5"/>
    <w:rsid w:val="00CA3C97"/>
    <w:rsid w:val="00CB53AA"/>
    <w:rsid w:val="00CF0F5D"/>
    <w:rsid w:val="00D240FA"/>
    <w:rsid w:val="00E10102"/>
    <w:rsid w:val="00E439E0"/>
    <w:rsid w:val="00EA1B9C"/>
    <w:rsid w:val="00F33D1E"/>
    <w:rsid w:val="00F5183E"/>
    <w:rsid w:val="00FA40CC"/>
    <w:rsid w:val="00FB046D"/>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ADDB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3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61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0188"/>
  </w:style>
  <w:style w:type="character" w:customStyle="1" w:styleId="FootnoteTextChar">
    <w:name w:val="Footnote Text Char"/>
    <w:basedOn w:val="DefaultParagraphFont"/>
    <w:link w:val="FootnoteText"/>
    <w:uiPriority w:val="99"/>
    <w:rsid w:val="003F0188"/>
  </w:style>
  <w:style w:type="character" w:styleId="FootnoteReference">
    <w:name w:val="footnote reference"/>
    <w:basedOn w:val="DefaultParagraphFont"/>
    <w:uiPriority w:val="99"/>
    <w:unhideWhenUsed/>
    <w:rsid w:val="003F0188"/>
    <w:rPr>
      <w:vertAlign w:val="superscript"/>
    </w:rPr>
  </w:style>
  <w:style w:type="paragraph" w:customStyle="1" w:styleId="EndNoteBibliographyTitle">
    <w:name w:val="EndNote Bibliography Title"/>
    <w:basedOn w:val="Normal"/>
    <w:rsid w:val="004971D7"/>
    <w:pPr>
      <w:jc w:val="center"/>
    </w:pPr>
    <w:rPr>
      <w:rFonts w:ascii="Calibri" w:hAnsi="Calibri"/>
    </w:rPr>
  </w:style>
  <w:style w:type="paragraph" w:customStyle="1" w:styleId="EndNoteBibliography">
    <w:name w:val="EndNote Bibliography"/>
    <w:basedOn w:val="Normal"/>
    <w:rsid w:val="004971D7"/>
    <w:rPr>
      <w:rFonts w:ascii="Calibri" w:hAnsi="Calibri"/>
    </w:rPr>
  </w:style>
  <w:style w:type="character" w:styleId="Hyperlink">
    <w:name w:val="Hyperlink"/>
    <w:basedOn w:val="DefaultParagraphFont"/>
    <w:uiPriority w:val="99"/>
    <w:unhideWhenUsed/>
    <w:rsid w:val="004971D7"/>
    <w:rPr>
      <w:color w:val="0563C1" w:themeColor="hyperlink"/>
      <w:u w:val="single"/>
    </w:rPr>
  </w:style>
  <w:style w:type="character" w:styleId="FollowedHyperlink">
    <w:name w:val="FollowedHyperlink"/>
    <w:basedOn w:val="DefaultParagraphFont"/>
    <w:uiPriority w:val="99"/>
    <w:semiHidden/>
    <w:unhideWhenUsed/>
    <w:rsid w:val="00852A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qualityindicators.ahrq.gov/Modules/psi_resource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3727</Words>
  <Characters>21249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Sun</dc:creator>
  <cp:keywords/>
  <dc:description/>
  <cp:lastModifiedBy>Eric Sun</cp:lastModifiedBy>
  <cp:revision>6</cp:revision>
  <dcterms:created xsi:type="dcterms:W3CDTF">2018-04-19T19:00:00Z</dcterms:created>
  <dcterms:modified xsi:type="dcterms:W3CDTF">2018-04-20T20:09:00Z</dcterms:modified>
</cp:coreProperties>
</file>