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090FB" w14:textId="77777777" w:rsidR="008A331E" w:rsidRPr="003275C5" w:rsidRDefault="008A331E">
      <w:pPr>
        <w:rPr>
          <w:rFonts w:ascii="Times New Roman" w:hAnsi="Times New Roman" w:cs="Times New Roman"/>
        </w:rPr>
      </w:pPr>
    </w:p>
    <w:p w14:paraId="5356DBDA" w14:textId="77777777" w:rsidR="008A331E" w:rsidRPr="003275C5" w:rsidRDefault="008A331E">
      <w:pPr>
        <w:rPr>
          <w:rFonts w:ascii="Times New Roman" w:hAnsi="Times New Roman" w:cs="Times New Roman"/>
        </w:rPr>
      </w:pPr>
    </w:p>
    <w:p w14:paraId="31D73C31" w14:textId="7447F32E" w:rsidR="008A331E" w:rsidRPr="00627854" w:rsidRDefault="00011A65" w:rsidP="008A331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37DC2">
        <w:rPr>
          <w:rFonts w:ascii="Times New Roman" w:hAnsi="Times New Roman" w:cs="Times New Roman"/>
          <w:b/>
          <w:sz w:val="28"/>
          <w:szCs w:val="28"/>
        </w:rPr>
        <w:t>Supplemental Digital Content 6</w:t>
      </w:r>
      <w:r w:rsidR="002C26E1" w:rsidRPr="00E37D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C26E1" w:rsidRPr="00E3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31E" w:rsidRPr="00E3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6E1" w:rsidRPr="00E37DC2">
        <w:rPr>
          <w:rFonts w:ascii="Times New Roman" w:hAnsi="Times New Roman" w:cs="Times New Roman"/>
          <w:b/>
          <w:sz w:val="28"/>
          <w:szCs w:val="28"/>
        </w:rPr>
        <w:t>Question 2, (Query 6):</w:t>
      </w:r>
      <w:r w:rsidR="002C26E1" w:rsidRPr="00E37D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A331E" w:rsidRPr="00E37DC2">
        <w:rPr>
          <w:rFonts w:ascii="Times New Roman" w:hAnsi="Times New Roman" w:cs="Times New Roman"/>
          <w:b/>
          <w:sz w:val="28"/>
          <w:szCs w:val="28"/>
        </w:rPr>
        <w:t>Does the administration of succinylcholine without concomitant volatile anesthetic administration trigger MH?</w:t>
      </w:r>
      <w:bookmarkStart w:id="0" w:name="_GoBack"/>
      <w:bookmarkEnd w:id="0"/>
    </w:p>
    <w:p w14:paraId="292CE717" w14:textId="77777777" w:rsidR="008A331E" w:rsidRPr="003275C5" w:rsidRDefault="008A331E" w:rsidP="008A331E">
      <w:pPr>
        <w:rPr>
          <w:rFonts w:ascii="Times New Roman" w:hAnsi="Times New Roman" w:cs="Times New Roman"/>
        </w:rPr>
      </w:pPr>
    </w:p>
    <w:p w14:paraId="3AAA152D" w14:textId="77777777" w:rsidR="008A331E" w:rsidRPr="003275C5" w:rsidRDefault="008A331E" w:rsidP="008A331E">
      <w:pPr>
        <w:rPr>
          <w:rFonts w:ascii="Times New Roman" w:hAnsi="Times New Roman" w:cs="Times New Roman"/>
        </w:rPr>
      </w:pP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ADC7E" wp14:editId="7349B672">
                <wp:simplePos x="0" y="0"/>
                <wp:positionH relativeFrom="column">
                  <wp:posOffset>2914650</wp:posOffset>
                </wp:positionH>
                <wp:positionV relativeFrom="paragraph">
                  <wp:posOffset>525780</wp:posOffset>
                </wp:positionV>
                <wp:extent cx="2228850" cy="876300"/>
                <wp:effectExtent l="0" t="0" r="635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952A" w14:textId="77777777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Additional records identified through other sources (Cochrane and EMBASE)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=19)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DADC7E" id="Rectangle 9" o:spid="_x0000_s1026" style="position:absolute;margin-left:229.5pt;margin-top:41.4pt;width:175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">
                <v:path arrowok="t"/>
                <v:textbox inset=",7.2pt,,7.2pt">
                  <w:txbxContent>
                    <w:p w14:paraId="1913952A" w14:textId="77777777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Additional records identified through other sources (Cochrane and EMBASE)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=19)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92A2C" wp14:editId="2503D671">
                <wp:simplePos x="0" y="0"/>
                <wp:positionH relativeFrom="column">
                  <wp:posOffset>342900</wp:posOffset>
                </wp:positionH>
                <wp:positionV relativeFrom="paragraph">
                  <wp:posOffset>525780</wp:posOffset>
                </wp:positionV>
                <wp:extent cx="2228850" cy="873125"/>
                <wp:effectExtent l="0" t="0" r="6350" b="317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5CF6" w14:textId="2B28DB49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identified through PubMed database searching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=398)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E92A2C" id="Rectangle 2" o:spid="_x0000_s1027" style="position:absolute;margin-left:27pt;margin-top:41.4pt;width:175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">
                <v:path arrowok="t"/>
                <v:textbox inset=",7.2pt,,7.2pt">
                  <w:txbxContent>
                    <w:p w14:paraId="137D5CF6" w14:textId="2B28DB49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identified through PubMed database searching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=398)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67BA7" wp14:editId="6E027DE5">
                <wp:simplePos x="0" y="0"/>
                <wp:positionH relativeFrom="column">
                  <wp:posOffset>4229100</wp:posOffset>
                </wp:positionH>
                <wp:positionV relativeFrom="paragraph">
                  <wp:posOffset>3783330</wp:posOffset>
                </wp:positionV>
                <wp:extent cx="1819275" cy="895350"/>
                <wp:effectExtent l="0" t="0" r="0" b="63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0708E" w14:textId="77777777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excluded, with reasons (co administration of volatile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29)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467BA7" id="Rectangle 14" o:spid="_x0000_s1028" style="position:absolute;margin-left:333pt;margin-top:297.9pt;width:143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">
                <v:path arrowok="t"/>
                <v:textbox inset=",7.2pt,,7.2pt">
                  <w:txbxContent>
                    <w:p w14:paraId="59B0708E" w14:textId="77777777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excluded, with reasons (co administration of volatile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29)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4BE4A" wp14:editId="7B24FFB6">
                <wp:simplePos x="0" y="0"/>
                <wp:positionH relativeFrom="column">
                  <wp:posOffset>4229100</wp:posOffset>
                </wp:positionH>
                <wp:positionV relativeFrom="paragraph">
                  <wp:posOffset>2859405</wp:posOffset>
                </wp:positionV>
                <wp:extent cx="1819275" cy="83820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8027" w14:textId="77777777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excluded (abstract revealed not using succinylcholine alone)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=182)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A4BE4A" id="Rectangle 12" o:spid="_x0000_s1029" style="position:absolute;margin-left:333pt;margin-top:225.15pt;width:143.2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">
                <v:path arrowok="t"/>
                <v:textbox inset=",7.2pt,,7.2pt">
                  <w:txbxContent>
                    <w:p w14:paraId="4A278027" w14:textId="77777777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excluded (abstract revealed not using succinylcholine alone)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=182)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572D96F" wp14:editId="320C5BF4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3268980</wp:posOffset>
                </wp:positionV>
                <wp:extent cx="650875" cy="9525"/>
                <wp:effectExtent l="0" t="50800" r="0" b="6667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0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97C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81.75pt;margin-top:257.4pt;width:51.25pt;height:.7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F30774F" wp14:editId="215DD91C">
                <wp:simplePos x="0" y="0"/>
                <wp:positionH relativeFrom="column">
                  <wp:posOffset>3600450</wp:posOffset>
                </wp:positionH>
                <wp:positionV relativeFrom="paragraph">
                  <wp:posOffset>4231005</wp:posOffset>
                </wp:positionV>
                <wp:extent cx="628650" cy="9525"/>
                <wp:effectExtent l="0" t="63500" r="0" b="5397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C9A7BB" id="AutoShape 22" o:spid="_x0000_s1026" type="#_x0000_t32" style="position:absolute;margin-left:283.5pt;margin-top:333.15pt;width:49.5pt;height:.75pt;flip:y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85EBE9F" wp14:editId="55C39D1F">
                <wp:simplePos x="0" y="0"/>
                <wp:positionH relativeFrom="column">
                  <wp:posOffset>1600200</wp:posOffset>
                </wp:positionH>
                <wp:positionV relativeFrom="paragraph">
                  <wp:posOffset>1402080</wp:posOffset>
                </wp:positionV>
                <wp:extent cx="0" cy="457200"/>
                <wp:effectExtent l="63500" t="0" r="50800" b="2540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A5A775" id="AutoShape 6" o:spid="_x0000_s1026" type="#_x0000_t32" style="position:absolute;margin-left:126pt;margin-top:110.4pt;width:0;height:3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C6F936A" wp14:editId="6F772B96">
                <wp:simplePos x="0" y="0"/>
                <wp:positionH relativeFrom="column">
                  <wp:posOffset>3886200</wp:posOffset>
                </wp:positionH>
                <wp:positionV relativeFrom="paragraph">
                  <wp:posOffset>1402080</wp:posOffset>
                </wp:positionV>
                <wp:extent cx="0" cy="457200"/>
                <wp:effectExtent l="63500" t="0" r="50800" b="2540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39558D" id="AutoShape 7" o:spid="_x0000_s1026" type="#_x0000_t32" style="position:absolute;margin-left:306pt;margin-top:110.4pt;width:0;height:3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010C7" wp14:editId="4E2082BA">
                <wp:simplePos x="0" y="0"/>
                <wp:positionH relativeFrom="column">
                  <wp:posOffset>1356995</wp:posOffset>
                </wp:positionH>
                <wp:positionV relativeFrom="paragraph">
                  <wp:posOffset>1849755</wp:posOffset>
                </wp:positionV>
                <wp:extent cx="2771775" cy="67627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BC72" w14:textId="6659A9E5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after reviews (75), and non-English abstracts or full article (101), and duplicates (19) removed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223)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D010C7" id="Rectangle 10" o:spid="_x0000_s1030" style="position:absolute;margin-left:106.85pt;margin-top:145.65pt;width:218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">
                <v:path arrowok="t"/>
                <v:textbox inset=",7.2pt,,7.2pt">
                  <w:txbxContent>
                    <w:p w14:paraId="1809BC72" w14:textId="6659A9E5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after reviews (75), and non-English abstracts or full article (101), and duplicates (19) removed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223)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EAA4" wp14:editId="588D83F2">
                <wp:simplePos x="0" y="0"/>
                <wp:positionH relativeFrom="column">
                  <wp:posOffset>-818515</wp:posOffset>
                </wp:positionH>
                <wp:positionV relativeFrom="paragraph">
                  <wp:posOffset>5163820</wp:posOffset>
                </wp:positionV>
                <wp:extent cx="1019175" cy="297180"/>
                <wp:effectExtent l="5398" t="0" r="2222" b="2223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0191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CD3636" w14:textId="77777777" w:rsidR="00E37DC2" w:rsidRDefault="00E37DC2" w:rsidP="008A331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043EAA4" id="AutoShape 4" o:spid="_x0000_s1031" style="position:absolute;margin-left:-64.45pt;margin-top:406.6pt;width:80.25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" fillcolor="#ccecff">
                <v:path arrowok="t"/>
                <v:textbox style="layout-flow:vertical;mso-layout-flow-alt:bottom-to-top" inset="3.6pt,,3.6pt">
                  <w:txbxContent>
                    <w:p w14:paraId="37CD3636" w14:textId="77777777" w:rsidR="00A9609D" w:rsidRDefault="00A9609D" w:rsidP="008A331E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BCA1C" wp14:editId="07555CEE">
                <wp:simplePos x="0" y="0"/>
                <wp:positionH relativeFrom="column">
                  <wp:posOffset>-994410</wp:posOffset>
                </wp:positionH>
                <wp:positionV relativeFrom="paragraph">
                  <wp:posOffset>3834765</wp:posOffset>
                </wp:positionV>
                <wp:extent cx="1371600" cy="297180"/>
                <wp:effectExtent l="3810" t="0" r="3810" b="381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B1365C" w14:textId="77777777" w:rsidR="00E37DC2" w:rsidRDefault="00E37DC2" w:rsidP="008A331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80BCA1C" id="AutoShape 5" o:spid="_x0000_s1032" style="position:absolute;margin-left:-78.3pt;margin-top:301.95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" fillcolor="#ccecff">
                <v:path arrowok="t"/>
                <v:textbox style="layout-flow:vertical;mso-layout-flow-alt:bottom-to-top" inset="3.6pt,,3.6pt">
                  <w:txbxContent>
                    <w:p w14:paraId="27B1365C" w14:textId="77777777" w:rsidR="00A9609D" w:rsidRDefault="00A9609D" w:rsidP="008A331E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AD83F" wp14:editId="16A6D529">
                <wp:simplePos x="0" y="0"/>
                <wp:positionH relativeFrom="column">
                  <wp:posOffset>-1056640</wp:posOffset>
                </wp:positionH>
                <wp:positionV relativeFrom="paragraph">
                  <wp:posOffset>2306320</wp:posOffset>
                </wp:positionV>
                <wp:extent cx="1495425" cy="297180"/>
                <wp:effectExtent l="2223" t="0" r="5397" b="5398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49542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C1327E" w14:textId="77777777" w:rsidR="00E37DC2" w:rsidRDefault="00E37DC2" w:rsidP="008A331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0DAD83F" id="AutoShape 3" o:spid="_x0000_s1033" style="position:absolute;margin-left:-83.2pt;margin-top:181.6pt;width:117.75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" fillcolor="#ccecff">
                <v:path arrowok="t"/>
                <v:textbox style="layout-flow:vertical;mso-layout-flow-alt:bottom-to-top" inset="3.6pt,,3.6pt">
                  <w:txbxContent>
                    <w:p w14:paraId="2EC1327E" w14:textId="77777777" w:rsidR="00A9609D" w:rsidRDefault="00A9609D" w:rsidP="008A331E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C4B81" wp14:editId="1EF963E4">
                <wp:simplePos x="0" y="0"/>
                <wp:positionH relativeFrom="column">
                  <wp:posOffset>-994410</wp:posOffset>
                </wp:positionH>
                <wp:positionV relativeFrom="paragraph">
                  <wp:posOffset>739140</wp:posOffset>
                </wp:positionV>
                <wp:extent cx="1371600" cy="297180"/>
                <wp:effectExtent l="3810" t="0" r="3810" b="381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2521F7" w14:textId="77777777" w:rsidR="00E37DC2" w:rsidRDefault="00E37DC2" w:rsidP="008A331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94C4B81" id="AutoShape 8" o:spid="_x0000_s1034" style="position:absolute;margin-left:-78.3pt;margin-top:58.2pt;width:108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" fillcolor="#ccecff">
                <v:path arrowok="t"/>
                <v:textbox style="layout-flow:vertical;mso-layout-flow-alt:bottom-to-top" inset="3.6pt,,3.6pt">
                  <w:txbxContent>
                    <w:p w14:paraId="4C2521F7" w14:textId="77777777" w:rsidR="00A9609D" w:rsidRDefault="00A9609D" w:rsidP="008A331E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9D501" wp14:editId="3CED6387">
                <wp:simplePos x="0" y="0"/>
                <wp:positionH relativeFrom="column">
                  <wp:posOffset>1885950</wp:posOffset>
                </wp:positionH>
                <wp:positionV relativeFrom="paragraph">
                  <wp:posOffset>4926330</wp:posOffset>
                </wp:positionV>
                <wp:extent cx="1714500" cy="685800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11777" w14:textId="159531FA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included in qualitative synthesis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11)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79D501" id="Rectangle 15" o:spid="_x0000_s1035" style="position:absolute;margin-left:148.5pt;margin-top:387.9pt;width:13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">
                <v:path arrowok="t"/>
                <v:textbox inset=",7.2pt,,7.2pt">
                  <w:txbxContent>
                    <w:p w14:paraId="32F11777" w14:textId="159531FA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included in qualitative synthesis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11)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A0FF58D" wp14:editId="514C1550">
                <wp:simplePos x="0" y="0"/>
                <wp:positionH relativeFrom="column">
                  <wp:posOffset>2743200</wp:posOffset>
                </wp:positionH>
                <wp:positionV relativeFrom="paragraph">
                  <wp:posOffset>4583430</wp:posOffset>
                </wp:positionV>
                <wp:extent cx="0" cy="342900"/>
                <wp:effectExtent l="63500" t="0" r="25400" b="2540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B224AB" id="AutoShape 19" o:spid="_x0000_s1026" type="#_x0000_t32" style="position:absolute;margin-left:3in;margin-top:360.9pt;width:0;height:27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A77E6" wp14:editId="4E36AA97">
                <wp:simplePos x="0" y="0"/>
                <wp:positionH relativeFrom="column">
                  <wp:posOffset>1885950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230D" w14:textId="6DB99626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assessed for eligibility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=40)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DA77E6" id="Rectangle 13" o:spid="_x0000_s1036" style="position:absolute;margin-left:148.5pt;margin-top:306.9pt;width:13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">
                <v:path arrowok="t"/>
                <v:textbox inset=",7.2pt,,7.2pt">
                  <w:txbxContent>
                    <w:p w14:paraId="26F4230D" w14:textId="6DB99626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assessed for eligibility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=40)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B3C66" wp14:editId="5588CADA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0" t="0" r="635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A0BD" w14:textId="331C1FFD" w:rsidR="00E37DC2" w:rsidRDefault="00E37DC2" w:rsidP="008A331E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screened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=222)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3B3C66" id="Rectangle 11" o:spid="_x0000_s1037" style="position:absolute;margin-left:150.25pt;margin-top:234.9pt;width:131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">
                <v:path arrowok="t"/>
                <v:textbox inset=",7.2pt,,7.2pt">
                  <w:txbxContent>
                    <w:p w14:paraId="11FDA0BD" w14:textId="331C1FFD" w:rsidR="00A9609D" w:rsidRDefault="00A9609D" w:rsidP="008A331E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screened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=222)</w:t>
                      </w:r>
                    </w:p>
                  </w:txbxContent>
                </v:textbox>
              </v:rect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BDAF711" wp14:editId="1A453A45">
                <wp:simplePos x="0" y="0"/>
                <wp:positionH relativeFrom="column">
                  <wp:posOffset>2743200</wp:posOffset>
                </wp:positionH>
                <wp:positionV relativeFrom="paragraph">
                  <wp:posOffset>3554730</wp:posOffset>
                </wp:positionV>
                <wp:extent cx="0" cy="342900"/>
                <wp:effectExtent l="63500" t="0" r="25400" b="2540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12259B" id="AutoShape 18" o:spid="_x0000_s1026" type="#_x0000_t32" style="position:absolute;margin-left:3in;margin-top:279.9pt;width:0;height:2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Pr="00327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CD91C8A" wp14:editId="6028D22B">
                <wp:simplePos x="0" y="0"/>
                <wp:positionH relativeFrom="column">
                  <wp:posOffset>2743200</wp:posOffset>
                </wp:positionH>
                <wp:positionV relativeFrom="paragraph">
                  <wp:posOffset>2526030</wp:posOffset>
                </wp:positionV>
                <wp:extent cx="0" cy="457200"/>
                <wp:effectExtent l="63500" t="0" r="50800" b="2540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AF63B1" id="AutoShape 17" o:spid="_x0000_s1026" type="#_x0000_t32" style="position:absolute;margin-left:3in;margin-top:198.9pt;width:0;height:3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">
                <v:stroke endarrow="block"/>
                <o:lock v:ext="edit" shapetype="f"/>
              </v:shape>
            </w:pict>
          </mc:Fallback>
        </mc:AlternateContent>
      </w:r>
    </w:p>
    <w:p w14:paraId="3059653E" w14:textId="438E81FD" w:rsidR="008A331E" w:rsidRPr="009D5A0C" w:rsidRDefault="008A331E" w:rsidP="008A331E">
      <w:pPr>
        <w:rPr>
          <w:rFonts w:ascii="Times New Roman" w:hAnsi="Times New Roman" w:cs="Times New Roman"/>
        </w:rPr>
      </w:pPr>
      <w:r w:rsidRPr="003275C5">
        <w:rPr>
          <w:rFonts w:ascii="Times New Roman" w:hAnsi="Times New Roman" w:cs="Times New Roman"/>
        </w:rPr>
        <w:br w:type="page"/>
      </w:r>
      <w:r w:rsidR="00C11948" w:rsidRPr="009D5A0C">
        <w:rPr>
          <w:rFonts w:ascii="Times New Roman" w:hAnsi="Times New Roman" w:cs="Times New Roman"/>
          <w:b/>
        </w:rPr>
        <w:lastRenderedPageBreak/>
        <w:t xml:space="preserve">Literature </w:t>
      </w:r>
      <w:r w:rsidR="00A47C14" w:rsidRPr="009D5A0C">
        <w:rPr>
          <w:rFonts w:ascii="Times New Roman" w:hAnsi="Times New Roman" w:cs="Times New Roman"/>
          <w:b/>
        </w:rPr>
        <w:t>Summary:</w:t>
      </w:r>
      <w:r w:rsidR="00A47C14" w:rsidRPr="009D5A0C">
        <w:rPr>
          <w:rFonts w:ascii="Times New Roman" w:hAnsi="Times New Roman" w:cs="Times New Roman"/>
        </w:rPr>
        <w:t xml:space="preserve">  The literature reported</w:t>
      </w:r>
      <w:r w:rsidR="009D5A0C" w:rsidRPr="009D5A0C">
        <w:rPr>
          <w:rFonts w:ascii="Times New Roman" w:hAnsi="Times New Roman" w:cs="Times New Roman"/>
        </w:rPr>
        <w:t xml:space="preserve"> </w:t>
      </w:r>
      <w:r w:rsidR="00621061" w:rsidRPr="009D5A0C">
        <w:rPr>
          <w:rFonts w:ascii="Times New Roman" w:hAnsi="Times New Roman" w:cs="Times New Roman"/>
        </w:rPr>
        <w:t xml:space="preserve">21 </w:t>
      </w:r>
      <w:r w:rsidR="00A47C14" w:rsidRPr="009D5A0C">
        <w:rPr>
          <w:rFonts w:ascii="Times New Roman" w:hAnsi="Times New Roman" w:cs="Times New Roman"/>
        </w:rPr>
        <w:t xml:space="preserve">MH events following the administration of succinylcholine without exposure to volatile anesthetic agents; </w:t>
      </w:r>
      <w:r w:rsidR="00621061" w:rsidRPr="009D5A0C">
        <w:rPr>
          <w:rFonts w:ascii="Times New Roman" w:hAnsi="Times New Roman" w:cs="Times New Roman"/>
        </w:rPr>
        <w:t xml:space="preserve">18 </w:t>
      </w:r>
      <w:r w:rsidR="00A47C14" w:rsidRPr="009D5A0C">
        <w:rPr>
          <w:rFonts w:ascii="Times New Roman" w:hAnsi="Times New Roman" w:cs="Times New Roman"/>
        </w:rPr>
        <w:t xml:space="preserve">in the US or Canada. For 12 of these cases, succinylcholine doses were 0.5−2.5 mg/kg.  </w:t>
      </w:r>
      <w:r w:rsidR="0009124D" w:rsidRPr="009D5A0C">
        <w:rPr>
          <w:rFonts w:ascii="Times New Roman" w:hAnsi="Times New Roman" w:cs="Times New Roman"/>
        </w:rPr>
        <w:t xml:space="preserve">At least 10 patients received clinically </w:t>
      </w:r>
      <w:r w:rsidR="005F0585" w:rsidRPr="009D5A0C">
        <w:rPr>
          <w:rFonts w:ascii="Times New Roman" w:hAnsi="Times New Roman" w:cs="Times New Roman"/>
        </w:rPr>
        <w:t>indicat</w:t>
      </w:r>
      <w:r w:rsidR="0009124D" w:rsidRPr="009D5A0C">
        <w:rPr>
          <w:rFonts w:ascii="Times New Roman" w:hAnsi="Times New Roman" w:cs="Times New Roman"/>
        </w:rPr>
        <w:t xml:space="preserve">ed </w:t>
      </w:r>
      <w:proofErr w:type="spellStart"/>
      <w:r w:rsidR="0009124D" w:rsidRPr="009D5A0C">
        <w:rPr>
          <w:rFonts w:ascii="Times New Roman" w:hAnsi="Times New Roman" w:cs="Times New Roman"/>
        </w:rPr>
        <w:t>dantrolene</w:t>
      </w:r>
      <w:proofErr w:type="spellEnd"/>
      <w:r w:rsidR="0009124D" w:rsidRPr="009D5A0C">
        <w:rPr>
          <w:rFonts w:ascii="Times New Roman" w:hAnsi="Times New Roman" w:cs="Times New Roman"/>
        </w:rPr>
        <w:t xml:space="preserve">.  </w:t>
      </w:r>
      <w:r w:rsidR="005F0585" w:rsidRPr="009D5A0C">
        <w:rPr>
          <w:rFonts w:ascii="Times New Roman" w:hAnsi="Times New Roman" w:cs="Times New Roman"/>
        </w:rPr>
        <w:t>Of 21 cases meeting eligibility criteria</w:t>
      </w:r>
      <w:r w:rsidR="00E27E54" w:rsidRPr="009D5A0C">
        <w:rPr>
          <w:rFonts w:ascii="Times New Roman" w:hAnsi="Times New Roman" w:cs="Times New Roman"/>
        </w:rPr>
        <w:t xml:space="preserve">, </w:t>
      </w:r>
      <w:r w:rsidR="00C11948" w:rsidRPr="009D5A0C">
        <w:rPr>
          <w:rFonts w:ascii="Times New Roman" w:hAnsi="Times New Roman" w:cs="Times New Roman"/>
        </w:rPr>
        <w:t>12</w:t>
      </w:r>
      <w:r w:rsidR="005F0585" w:rsidRPr="009D5A0C">
        <w:rPr>
          <w:rFonts w:ascii="Times New Roman" w:hAnsi="Times New Roman" w:cs="Times New Roman"/>
        </w:rPr>
        <w:t xml:space="preserve"> experienced MH morbidity</w:t>
      </w:r>
      <w:r w:rsidR="00C11948" w:rsidRPr="009D5A0C">
        <w:rPr>
          <w:rFonts w:ascii="Times New Roman" w:hAnsi="Times New Roman" w:cs="Times New Roman"/>
        </w:rPr>
        <w:t xml:space="preserve"> including </w:t>
      </w:r>
      <w:proofErr w:type="spellStart"/>
      <w:r w:rsidR="00C11948" w:rsidRPr="009D5A0C">
        <w:rPr>
          <w:rFonts w:ascii="Times New Roman" w:hAnsi="Times New Roman" w:cs="Times New Roman"/>
        </w:rPr>
        <w:t>rhabdomyolysis</w:t>
      </w:r>
      <w:proofErr w:type="spellEnd"/>
      <w:r w:rsidR="00C11948" w:rsidRPr="009D5A0C">
        <w:rPr>
          <w:rFonts w:ascii="Times New Roman" w:hAnsi="Times New Roman" w:cs="Times New Roman"/>
        </w:rPr>
        <w:t>, renal dysfunction, life threatening arrhythmias, and change in consciousness levels</w:t>
      </w:r>
      <w:r w:rsidR="005F0585" w:rsidRPr="009D5A0C">
        <w:rPr>
          <w:rFonts w:ascii="Times New Roman" w:hAnsi="Times New Roman" w:cs="Times New Roman"/>
        </w:rPr>
        <w:t xml:space="preserve">.  </w:t>
      </w:r>
      <w:r w:rsidR="00C11948" w:rsidRPr="009D5A0C">
        <w:rPr>
          <w:rFonts w:ascii="Times New Roman" w:hAnsi="Times New Roman" w:cs="Times New Roman"/>
        </w:rPr>
        <w:t xml:space="preserve">There were no reported deaths in eligible cases.  </w:t>
      </w:r>
      <w:r w:rsidR="00A47C14" w:rsidRPr="009D5A0C">
        <w:rPr>
          <w:rFonts w:ascii="Times New Roman" w:hAnsi="Times New Roman" w:cs="Times New Roman"/>
        </w:rPr>
        <w:t>All articles have reporting bias due to selective reporting.</w:t>
      </w:r>
    </w:p>
    <w:tbl>
      <w:tblPr>
        <w:tblStyle w:val="TableGrid"/>
        <w:tblpPr w:leftFromText="180" w:rightFromText="180" w:vertAnchor="text" w:horzAnchor="page" w:tblpX="944" w:tblpY="228"/>
        <w:tblOverlap w:val="never"/>
        <w:tblW w:w="12618" w:type="dxa"/>
        <w:tblLayout w:type="fixed"/>
        <w:tblLook w:val="04A0" w:firstRow="1" w:lastRow="0" w:firstColumn="1" w:lastColumn="0" w:noHBand="0" w:noVBand="1"/>
      </w:tblPr>
      <w:tblGrid>
        <w:gridCol w:w="2830"/>
        <w:gridCol w:w="1508"/>
        <w:gridCol w:w="1440"/>
        <w:gridCol w:w="1530"/>
        <w:gridCol w:w="1260"/>
        <w:gridCol w:w="990"/>
        <w:gridCol w:w="1260"/>
        <w:gridCol w:w="1800"/>
      </w:tblGrid>
      <w:tr w:rsidR="009D5A0C" w:rsidRPr="009D5A0C" w14:paraId="7DE01476" w14:textId="78D61DC1" w:rsidTr="009D5A0C">
        <w:trPr>
          <w:trHeight w:val="710"/>
        </w:trPr>
        <w:tc>
          <w:tcPr>
            <w:tcW w:w="2830" w:type="dxa"/>
          </w:tcPr>
          <w:p w14:paraId="1C6BC142" w14:textId="654F2A2D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Article Identifier/Database Source</w:t>
            </w:r>
          </w:p>
        </w:tc>
        <w:tc>
          <w:tcPr>
            <w:tcW w:w="1508" w:type="dxa"/>
          </w:tcPr>
          <w:p w14:paraId="6CE1BCB1" w14:textId="4D1DAE9C" w:rsidR="009D5A0C" w:rsidRPr="009D5A0C" w:rsidRDefault="009D5A0C" w:rsidP="009D5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Number of Succinylcholine without volatile MH cases</w:t>
            </w:r>
          </w:p>
        </w:tc>
        <w:tc>
          <w:tcPr>
            <w:tcW w:w="1440" w:type="dxa"/>
          </w:tcPr>
          <w:p w14:paraId="2B10C997" w14:textId="41E0753F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Description of cases</w:t>
            </w:r>
          </w:p>
          <w:p w14:paraId="3E125FE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F6D82B" w14:textId="06C07F80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Use/Indication</w:t>
            </w:r>
          </w:p>
        </w:tc>
        <w:tc>
          <w:tcPr>
            <w:tcW w:w="1260" w:type="dxa"/>
          </w:tcPr>
          <w:p w14:paraId="67AF93A7" w14:textId="72B8A549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MH Morbidity/Mortality</w:t>
            </w:r>
          </w:p>
        </w:tc>
        <w:tc>
          <w:tcPr>
            <w:tcW w:w="990" w:type="dxa"/>
          </w:tcPr>
          <w:p w14:paraId="219DF41B" w14:textId="06DF9CBA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OCEBM Level of Evidence</w:t>
            </w:r>
          </w:p>
        </w:tc>
        <w:tc>
          <w:tcPr>
            <w:tcW w:w="1260" w:type="dxa"/>
          </w:tcPr>
          <w:p w14:paraId="43AA7890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Number of fulminant or CGS&gt;20</w:t>
            </w:r>
          </w:p>
        </w:tc>
        <w:tc>
          <w:tcPr>
            <w:tcW w:w="1800" w:type="dxa"/>
          </w:tcPr>
          <w:p w14:paraId="4940607C" w14:textId="414B6CC8" w:rsidR="009D5A0C" w:rsidRPr="009D5A0C" w:rsidRDefault="009D5A0C" w:rsidP="00FE3EA2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9D5A0C" w:rsidRPr="009D5A0C" w14:paraId="5E52D5C5" w14:textId="4C0858BD" w:rsidTr="009D5A0C">
        <w:tc>
          <w:tcPr>
            <w:tcW w:w="2830" w:type="dxa"/>
          </w:tcPr>
          <w:p w14:paraId="3DE4A929" w14:textId="1E1DA30D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Visoiu M</w:t>
            </w:r>
            <w:r w:rsidRPr="009D5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, Young MC, Wieland K,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Brandom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BW.</w:t>
            </w:r>
          </w:p>
          <w:p w14:paraId="5E6CC8C0" w14:textId="0E5E556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Anesthetic drugs and onset of malignant hyperthermia.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Analg. 2014 Feb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;118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(2):388-96. </w:t>
            </w:r>
          </w:p>
          <w:p w14:paraId="2FE62DB0" w14:textId="6DAE9A92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5A1EE8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3CB4740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5 cases (of 477 patients)</w:t>
            </w:r>
          </w:p>
          <w:p w14:paraId="07608672" w14:textId="541BE80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succinylcholine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dose unknown</w:t>
            </w:r>
          </w:p>
        </w:tc>
        <w:tc>
          <w:tcPr>
            <w:tcW w:w="1440" w:type="dxa"/>
          </w:tcPr>
          <w:p w14:paraId="6ACEFED2" w14:textId="3792627C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1 had fulminant MH-age 14 y (CGS 73), 4 had possible MH (CGS 28, 40, 40, 43) 16 y, 26 y, 71 y, 45 y.  1 case began in ED, 1 case in delivery room, 2 cases began in OR, 1 case began in PACU.  All in hospitals in US or Canada.  No CHCT or molecular genetic testing reported. </w:t>
            </w:r>
          </w:p>
        </w:tc>
        <w:tc>
          <w:tcPr>
            <w:tcW w:w="1530" w:type="dxa"/>
          </w:tcPr>
          <w:p w14:paraId="2212BE7E" w14:textId="1D835E07" w:rsidR="009D5A0C" w:rsidRPr="009D5A0C" w:rsidRDefault="009D5A0C" w:rsidP="00064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5 received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/judged clinically indicated after examination of AMRA forms by MGL/BWB/SR</w:t>
            </w:r>
          </w:p>
        </w:tc>
        <w:tc>
          <w:tcPr>
            <w:tcW w:w="1260" w:type="dxa"/>
          </w:tcPr>
          <w:p w14:paraId="5101E42B" w14:textId="3142DEC5" w:rsidR="009D5A0C" w:rsidRPr="009D5A0C" w:rsidRDefault="009D5A0C" w:rsidP="00F87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 case of renal dysfunction and change in consciousness level/no mortality</w:t>
            </w:r>
          </w:p>
        </w:tc>
        <w:tc>
          <w:tcPr>
            <w:tcW w:w="990" w:type="dxa"/>
          </w:tcPr>
          <w:p w14:paraId="033403A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D7DCDF3" w14:textId="3C12979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5 (2 case</w:t>
            </w:r>
            <w:r w:rsidRPr="009D5A0C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s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overlap with those of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 2010 Feb 1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;110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(2):498-507)</w:t>
            </w:r>
          </w:p>
        </w:tc>
        <w:tc>
          <w:tcPr>
            <w:tcW w:w="1800" w:type="dxa"/>
          </w:tcPr>
          <w:p w14:paraId="77411FB3" w14:textId="7DCB2690" w:rsidR="009D5A0C" w:rsidRPr="009D5A0C" w:rsidRDefault="009D5A0C" w:rsidP="0062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Reporting bias</w:t>
            </w:r>
          </w:p>
        </w:tc>
      </w:tr>
      <w:tr w:rsidR="009D5A0C" w:rsidRPr="009D5A0C" w14:paraId="174B6154" w14:textId="39D23C86" w:rsidTr="009D5A0C">
        <w:tc>
          <w:tcPr>
            <w:tcW w:w="2830" w:type="dxa"/>
          </w:tcPr>
          <w:p w14:paraId="7E99FF5B" w14:textId="0677501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Klingler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Heiderich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 Girard T,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Gravino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E,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Heffron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JJ,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Johannsen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Jurkat-Rott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K,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Rüffert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H, Schuster F,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Snoeck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M, Sorrentino V, Tegazzin V, Lehmann-Horn F.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Functional and genetic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characterization of clinical malignant hyperthermia crises: a multi-</w:t>
            </w:r>
            <w:proofErr w:type="spellStart"/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>centre</w:t>
            </w:r>
            <w:proofErr w:type="spellEnd"/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study.</w:t>
            </w:r>
          </w:p>
          <w:p w14:paraId="6B3D0D0A" w14:textId="377E23E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Orphanet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J Rare Dis. 2014 Jan 16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;9:8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08" w:type="dxa"/>
          </w:tcPr>
          <w:p w14:paraId="202A2BA7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cases (of 200 patients)</w:t>
            </w:r>
          </w:p>
        </w:tc>
        <w:tc>
          <w:tcPr>
            <w:tcW w:w="1440" w:type="dxa"/>
          </w:tcPr>
          <w:p w14:paraId="0CD9692F" w14:textId="6C0857D3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1- ENT surgery, 13M, isolated MMR.</w:t>
            </w:r>
          </w:p>
          <w:p w14:paraId="171E2A92" w14:textId="14C8D8B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IVCT positive, and genetics positive (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p.R614C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C36087" w14:textId="7969246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2- Testicular torsion, 10M, MMR and hyperthermia </w:t>
            </w:r>
          </w:p>
          <w:p w14:paraId="5B5AECB7" w14:textId="420D646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IVCT positive, genetics negative</w:t>
            </w:r>
          </w:p>
        </w:tc>
        <w:tc>
          <w:tcPr>
            <w:tcW w:w="1530" w:type="dxa"/>
          </w:tcPr>
          <w:p w14:paraId="4A3801DF" w14:textId="4C927629" w:rsidR="009D5A0C" w:rsidRPr="009D5A0C" w:rsidRDefault="009D5A0C" w:rsidP="00BE5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Not   mentioned.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in case #2 would have been indicated.  No details are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available to determine if it was given.</w:t>
            </w:r>
          </w:p>
        </w:tc>
        <w:tc>
          <w:tcPr>
            <w:tcW w:w="1260" w:type="dxa"/>
          </w:tcPr>
          <w:p w14:paraId="6A2F823E" w14:textId="2922F675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Case#1 developed rhabdomyolysis</w:t>
            </w:r>
          </w:p>
        </w:tc>
        <w:tc>
          <w:tcPr>
            <w:tcW w:w="990" w:type="dxa"/>
          </w:tcPr>
          <w:p w14:paraId="3C78256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840C17A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049CF19F" w14:textId="74468E0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Biased. Only patients who survived made it to referral center. </w:t>
            </w:r>
          </w:p>
          <w:p w14:paraId="5168A4DD" w14:textId="2D19C737" w:rsidR="009D5A0C" w:rsidRPr="009D5A0C" w:rsidRDefault="009D5A0C" w:rsidP="00BE5697"/>
        </w:tc>
      </w:tr>
      <w:tr w:rsidR="009D5A0C" w:rsidRPr="009D5A0C" w14:paraId="3B522850" w14:textId="5780A5E6" w:rsidTr="009D5A0C">
        <w:tc>
          <w:tcPr>
            <w:tcW w:w="2830" w:type="dxa"/>
          </w:tcPr>
          <w:p w14:paraId="41E19E98" w14:textId="7B53F2AF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Schuster F,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Johannsen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Schneiderbanger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D,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Roewer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Evaluation of suspected malignant hyperthermia events during anesthesia.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BMC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Anesthesiol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. 2013 Sep 23; 13(1)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:24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B4BFE70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D6CB75F" w14:textId="449F5810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 cases (out of 19)</w:t>
            </w:r>
          </w:p>
        </w:tc>
        <w:tc>
          <w:tcPr>
            <w:tcW w:w="1440" w:type="dxa"/>
          </w:tcPr>
          <w:p w14:paraId="4EC3A98D" w14:textId="6131C6EC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CGS scores: 15, 40,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D1CEB6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All were IVCT positive and negative genetics.</w:t>
            </w:r>
          </w:p>
          <w:p w14:paraId="434C71BF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One showed neurogenic myopathy in histopathology</w:t>
            </w:r>
          </w:p>
        </w:tc>
        <w:tc>
          <w:tcPr>
            <w:tcW w:w="1530" w:type="dxa"/>
          </w:tcPr>
          <w:p w14:paraId="03D8877F" w14:textId="29CBE01B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Used in one case.</w:t>
            </w:r>
          </w:p>
          <w:p w14:paraId="66B478F6" w14:textId="5C88B25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was indicated in fulminant case (CGS=40) and given.</w:t>
            </w:r>
          </w:p>
        </w:tc>
        <w:tc>
          <w:tcPr>
            <w:tcW w:w="1260" w:type="dxa"/>
          </w:tcPr>
          <w:p w14:paraId="31062AEF" w14:textId="3D55C03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Fulminant case developed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rhabodmyolysis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5AC251BC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BC68E68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3DC4AE75" w14:textId="7409563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Biased. Only patients who survived made it to referral center.</w:t>
            </w:r>
          </w:p>
          <w:p w14:paraId="7D693D98" w14:textId="430F1E3F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A0C" w:rsidRPr="009D5A0C" w14:paraId="52653620" w14:textId="743EC652" w:rsidTr="009D5A0C">
        <w:tc>
          <w:tcPr>
            <w:tcW w:w="2830" w:type="dxa"/>
          </w:tcPr>
          <w:p w14:paraId="10BD29E0" w14:textId="09F3E94C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Riazi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 Larach MG, Hu C,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Wijeysundera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D, Massey C,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Kraeva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Malignant hyperthermia in Canada: characteristics of index anesthetics in 129 malignant hyperthermia susceptible </w:t>
            </w:r>
            <w:proofErr w:type="spellStart"/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>probands</w:t>
            </w:r>
            <w:proofErr w:type="spellEnd"/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D6C02C1" w14:textId="546FADDD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Analg. 2014 Feb; 118(2)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:381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-7. </w:t>
            </w:r>
          </w:p>
        </w:tc>
        <w:tc>
          <w:tcPr>
            <w:tcW w:w="1508" w:type="dxa"/>
          </w:tcPr>
          <w:p w14:paraId="33B29DA0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20 cases (of 129 patients)</w:t>
            </w:r>
          </w:p>
        </w:tc>
        <w:tc>
          <w:tcPr>
            <w:tcW w:w="1440" w:type="dxa"/>
          </w:tcPr>
          <w:p w14:paraId="572D7422" w14:textId="77777777" w:rsidR="009D5A0C" w:rsidRPr="009D5A0C" w:rsidRDefault="009D5A0C" w:rsidP="00C84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CGS: 15-60</w:t>
            </w:r>
          </w:p>
          <w:p w14:paraId="6655D22C" w14:textId="6D49BF88" w:rsidR="009D5A0C" w:rsidRPr="009D5A0C" w:rsidRDefault="009D5A0C" w:rsidP="00C84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Succinylcholine doses for the 20 cases ranged from 0.5 to 2.5 mg/kg. All were CHCT positive and 7 carried causative </w:t>
            </w:r>
            <w:r w:rsidRPr="009D5A0C">
              <w:rPr>
                <w:rFonts w:ascii="Times New Roman" w:hAnsi="Times New Roman" w:cs="Times New Roman"/>
                <w:i/>
                <w:sz w:val="20"/>
                <w:szCs w:val="20"/>
              </w:rPr>
              <w:t>RYR1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mutations.</w:t>
            </w:r>
          </w:p>
        </w:tc>
        <w:tc>
          <w:tcPr>
            <w:tcW w:w="1530" w:type="dxa"/>
          </w:tcPr>
          <w:p w14:paraId="056CD407" w14:textId="186CB0B3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4 patients received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.  This treatment was indicated.  </w:t>
            </w:r>
          </w:p>
        </w:tc>
        <w:tc>
          <w:tcPr>
            <w:tcW w:w="1260" w:type="dxa"/>
          </w:tcPr>
          <w:p w14:paraId="14455A50" w14:textId="7DB8D8C1" w:rsidR="009D5A0C" w:rsidRPr="009D5A0C" w:rsidRDefault="009D5A0C" w:rsidP="004B5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3 cases (2 met the inclusion criteria) developed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life threatening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arrhythmias. 7 cases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 all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met inclusion criteria) developed rhabdomyolysis. One of these also had life threatening arrhythmia</w:t>
            </w:r>
          </w:p>
        </w:tc>
        <w:tc>
          <w:tcPr>
            <w:tcW w:w="990" w:type="dxa"/>
          </w:tcPr>
          <w:p w14:paraId="403BF037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67B4725" w14:textId="27E8A84C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12 (succinylcholine doses for these 12 patients ranged from 0.5 to 2.5 mg/kg)</w:t>
            </w:r>
          </w:p>
        </w:tc>
        <w:tc>
          <w:tcPr>
            <w:tcW w:w="1800" w:type="dxa"/>
          </w:tcPr>
          <w:p w14:paraId="274B2257" w14:textId="2B0E16DC" w:rsidR="009D5A0C" w:rsidRPr="009D5A0C" w:rsidRDefault="009D5A0C" w:rsidP="001F7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Biased. Only patients who survived made it to referral center.</w:t>
            </w:r>
          </w:p>
        </w:tc>
      </w:tr>
      <w:tr w:rsidR="009D5A0C" w:rsidRPr="009D5A0C" w14:paraId="27F8659D" w14:textId="77443EA4" w:rsidTr="009D5A0C">
        <w:tc>
          <w:tcPr>
            <w:tcW w:w="2830" w:type="dxa"/>
          </w:tcPr>
          <w:p w14:paraId="6B31DC34" w14:textId="4F181DB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Lavezzi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WA,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Capacchione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JF, Muldoon SM, Sambuughin N, Bina S, Steele D,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Brandom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BW.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Case report: Death in the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emergency department: an unrecognized awake malignant hyperthermia-like reaction in a six-year-old.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Analg. 2013 Feb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;116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(2):420-3. </w:t>
            </w:r>
          </w:p>
          <w:p w14:paraId="24B0ECB6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275BCCA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case report</w:t>
            </w:r>
          </w:p>
          <w:p w14:paraId="69D84D79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10EB9" w14:textId="28A52586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6M</w:t>
            </w:r>
          </w:p>
        </w:tc>
        <w:tc>
          <w:tcPr>
            <w:tcW w:w="1440" w:type="dxa"/>
          </w:tcPr>
          <w:p w14:paraId="4145A3B7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Awake MH (rigidity, hyperthermia), resulted in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cardiac arrest in ER after succinylcholine.</w:t>
            </w:r>
          </w:p>
          <w:p w14:paraId="513E9B09" w14:textId="6147A66F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Carried pathogenic </w:t>
            </w:r>
            <w:r w:rsidRPr="009D5A0C">
              <w:rPr>
                <w:rFonts w:ascii="Times New Roman" w:hAnsi="Times New Roman" w:cs="Times New Roman"/>
                <w:i/>
                <w:sz w:val="20"/>
                <w:szCs w:val="20"/>
              </w:rPr>
              <w:t>RYR1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variant (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p.G4820W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530" w:type="dxa"/>
          </w:tcPr>
          <w:p w14:paraId="69CE7B37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FBED51" w14:textId="1D780FC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990" w:type="dxa"/>
          </w:tcPr>
          <w:p w14:paraId="5C9D52EA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1A82D37F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Not counted</w:t>
            </w:r>
          </w:p>
        </w:tc>
        <w:tc>
          <w:tcPr>
            <w:tcW w:w="1800" w:type="dxa"/>
          </w:tcPr>
          <w:p w14:paraId="10240CBF" w14:textId="6C14D067" w:rsidR="009D5A0C" w:rsidRPr="009D5A0C" w:rsidRDefault="009D5A0C" w:rsidP="00FE3EA2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A0C" w:rsidRPr="009D5A0C" w14:paraId="5DD8AF18" w14:textId="599459CD" w:rsidTr="009D5A0C">
        <w:tc>
          <w:tcPr>
            <w:tcW w:w="2830" w:type="dxa"/>
          </w:tcPr>
          <w:p w14:paraId="08292B44" w14:textId="27A67F1F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Pulnitiporn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9D5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Charuluxananan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Inphum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P,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Kitsampanwong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Malignant hyperthermia: a case report in Thai Anesthesia Incidents Study (THAI Study).</w:t>
            </w:r>
          </w:p>
          <w:p w14:paraId="7F5EED88" w14:textId="6AE5ACF5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J Med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Thai. 2005 Nov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;88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7:S149-52.</w:t>
            </w:r>
          </w:p>
          <w:p w14:paraId="150E8295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8B44A5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One (case report)</w:t>
            </w:r>
          </w:p>
          <w:p w14:paraId="6795F9D9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EE3C7" w14:textId="73D623BB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3M</w:t>
            </w:r>
          </w:p>
        </w:tc>
        <w:tc>
          <w:tcPr>
            <w:tcW w:w="1440" w:type="dxa"/>
          </w:tcPr>
          <w:p w14:paraId="0D95435B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Rigidity,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hypercabia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, tachycardia,</w:t>
            </w:r>
          </w:p>
          <w:p w14:paraId="3245A97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Hyperthermia, Acidosis</w:t>
            </w:r>
          </w:p>
          <w:p w14:paraId="3583F96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49C59" w14:textId="52DA69A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CGS: 58</w:t>
            </w:r>
          </w:p>
        </w:tc>
        <w:tc>
          <w:tcPr>
            <w:tcW w:w="1530" w:type="dxa"/>
          </w:tcPr>
          <w:p w14:paraId="18145AA9" w14:textId="6C3CF8CC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was used, but its used would have been indicated.</w:t>
            </w:r>
          </w:p>
          <w:p w14:paraId="02EEBC55" w14:textId="098E7726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B2BE0C" w14:textId="2A60866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Developed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rhabodmyolysis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/Patient survived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0" w:type="dxa"/>
          </w:tcPr>
          <w:p w14:paraId="09DA1BE5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F6CD94A" w14:textId="25EAB1C5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 fulminant case</w:t>
            </w:r>
          </w:p>
        </w:tc>
        <w:tc>
          <w:tcPr>
            <w:tcW w:w="1800" w:type="dxa"/>
          </w:tcPr>
          <w:p w14:paraId="2B45E31E" w14:textId="37B29FD1" w:rsidR="009D5A0C" w:rsidRPr="009D5A0C" w:rsidRDefault="009D5A0C" w:rsidP="008B5F01"/>
        </w:tc>
      </w:tr>
      <w:tr w:rsidR="009D5A0C" w:rsidRPr="009D5A0C" w14:paraId="6DA33958" w14:textId="70C610CE" w:rsidTr="009D5A0C">
        <w:tc>
          <w:tcPr>
            <w:tcW w:w="2830" w:type="dxa"/>
          </w:tcPr>
          <w:p w14:paraId="742FBEDD" w14:textId="0CB73106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Larach MG, Gronert GA, Allen GC,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Brandom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BW, Lehman EB.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Clinical presentation, treatment, and complications of malignant hyperthermia in North America from 1987 to 2006.</w:t>
            </w:r>
          </w:p>
          <w:p w14:paraId="41F4A885" w14:textId="6AE0747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Analg. 2010 Feb 1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;110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(2):498-507. </w:t>
            </w:r>
          </w:p>
          <w:p w14:paraId="6CF61B8F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88C264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2 cases (of 284 patients)</w:t>
            </w:r>
          </w:p>
        </w:tc>
        <w:tc>
          <w:tcPr>
            <w:tcW w:w="1440" w:type="dxa"/>
          </w:tcPr>
          <w:p w14:paraId="73A61A6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CGS: 40, and 73</w:t>
            </w:r>
          </w:p>
        </w:tc>
        <w:tc>
          <w:tcPr>
            <w:tcW w:w="1530" w:type="dxa"/>
          </w:tcPr>
          <w:p w14:paraId="4650F295" w14:textId="021144C1" w:rsidR="009D5A0C" w:rsidRPr="009D5A0C" w:rsidRDefault="009D5A0C" w:rsidP="0020238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Both received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and its use was indicated.</w:t>
            </w:r>
          </w:p>
        </w:tc>
        <w:tc>
          <w:tcPr>
            <w:tcW w:w="1260" w:type="dxa"/>
          </w:tcPr>
          <w:p w14:paraId="7BF86E93" w14:textId="5A8CAA53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 MH morbidity or mortality</w:t>
            </w:r>
          </w:p>
        </w:tc>
        <w:tc>
          <w:tcPr>
            <w:tcW w:w="990" w:type="dxa"/>
          </w:tcPr>
          <w:p w14:paraId="38CAB524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2C8E641B" w14:textId="1A7FF33C" w:rsidR="009D5A0C" w:rsidRPr="009D5A0C" w:rsidRDefault="009D5A0C" w:rsidP="00DE2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Both cases were also reported in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Analg 2014:118(2)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:388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-96] Not counted because duplicate</w:t>
            </w:r>
          </w:p>
        </w:tc>
        <w:tc>
          <w:tcPr>
            <w:tcW w:w="1800" w:type="dxa"/>
          </w:tcPr>
          <w:p w14:paraId="797FB4CE" w14:textId="34B61E1F" w:rsidR="009D5A0C" w:rsidRPr="009D5A0C" w:rsidRDefault="009D5A0C" w:rsidP="001F7529"/>
        </w:tc>
      </w:tr>
      <w:tr w:rsidR="009D5A0C" w:rsidRPr="009D5A0C" w14:paraId="6C2C9F3D" w14:textId="73E66D50" w:rsidTr="009D5A0C">
        <w:tc>
          <w:tcPr>
            <w:tcW w:w="2830" w:type="dxa"/>
          </w:tcPr>
          <w:p w14:paraId="0A56C505" w14:textId="02D3FC44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Ording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H.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Incidence of malignant hyperthermia in Denmark.</w:t>
            </w:r>
          </w:p>
          <w:p w14:paraId="29DBE77F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Anesth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Analg.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1985 Jul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;64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(7):700-4.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8919FA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5A79034" w14:textId="2665162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17 cases (11.8%) Succinylcholine-only</w:t>
            </w:r>
          </w:p>
        </w:tc>
        <w:tc>
          <w:tcPr>
            <w:tcW w:w="1440" w:type="dxa"/>
          </w:tcPr>
          <w:p w14:paraId="1FD877A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No detailed information. </w:t>
            </w:r>
          </w:p>
          <w:p w14:paraId="38540B5C" w14:textId="4FBCF949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The cases were NOT fulminant but were all aborted cases.</w:t>
            </w:r>
          </w:p>
        </w:tc>
        <w:tc>
          <w:tcPr>
            <w:tcW w:w="1530" w:type="dxa"/>
          </w:tcPr>
          <w:p w14:paraId="0B4494A1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Not mentioned</w:t>
            </w:r>
          </w:p>
        </w:tc>
        <w:tc>
          <w:tcPr>
            <w:tcW w:w="1260" w:type="dxa"/>
          </w:tcPr>
          <w:p w14:paraId="7B0F3658" w14:textId="1D6E88A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 details.</w:t>
            </w:r>
          </w:p>
        </w:tc>
        <w:tc>
          <w:tcPr>
            <w:tcW w:w="990" w:type="dxa"/>
          </w:tcPr>
          <w:p w14:paraId="53712261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640BA02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9FC8900" w14:textId="3B5B702B" w:rsidR="009D5A0C" w:rsidRPr="009D5A0C" w:rsidRDefault="009D5A0C" w:rsidP="00FE3EA2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A0C" w:rsidRPr="009D5A0C" w14:paraId="32C15419" w14:textId="3A29455C" w:rsidTr="009D5A0C">
        <w:tc>
          <w:tcPr>
            <w:tcW w:w="2830" w:type="dxa"/>
          </w:tcPr>
          <w:p w14:paraId="06E5D010" w14:textId="4E73E8F6" w:rsidR="009D5A0C" w:rsidRPr="009D5A0C" w:rsidRDefault="009D5A0C" w:rsidP="00FE3E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Lazarus A, Rosenberg H.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Malignant hyperthermia during ECT.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J Psychiatry. 1991 Apr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;148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(4):541-2.</w:t>
            </w:r>
          </w:p>
          <w:p w14:paraId="73FF39E5" w14:textId="0BA7D1D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15CF95C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One (case report)</w:t>
            </w:r>
          </w:p>
          <w:p w14:paraId="06D6F8F2" w14:textId="0CEBA39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30Male</w:t>
            </w:r>
          </w:p>
          <w:p w14:paraId="00190A13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ECT</w:t>
            </w:r>
          </w:p>
          <w:p w14:paraId="5BA42A2E" w14:textId="337EEBEF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2 previous uneventful anesthetics</w:t>
            </w:r>
          </w:p>
        </w:tc>
        <w:tc>
          <w:tcPr>
            <w:tcW w:w="1440" w:type="dxa"/>
          </w:tcPr>
          <w:p w14:paraId="1FB45025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Rigidity, Hyperthermia, and tachycardia</w:t>
            </w:r>
          </w:p>
          <w:p w14:paraId="6373611F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31827" w14:textId="5C61DF9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CHCT was positive</w:t>
            </w:r>
          </w:p>
        </w:tc>
        <w:tc>
          <w:tcPr>
            <w:tcW w:w="1530" w:type="dxa"/>
          </w:tcPr>
          <w:p w14:paraId="089404B8" w14:textId="182E92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was used although its use would have been indicated. </w:t>
            </w:r>
          </w:p>
          <w:p w14:paraId="5FF277CB" w14:textId="77F4DF6F" w:rsidR="009D5A0C" w:rsidRPr="009D5A0C" w:rsidRDefault="009D5A0C" w:rsidP="00FE3E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</w:tcPr>
          <w:p w14:paraId="7BED8F7D" w14:textId="4DAC8EA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 MH morbidity or mortality.</w:t>
            </w:r>
          </w:p>
        </w:tc>
        <w:tc>
          <w:tcPr>
            <w:tcW w:w="990" w:type="dxa"/>
          </w:tcPr>
          <w:p w14:paraId="07875E54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6F3A8305" w14:textId="5AA9F92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 fulminant case</w:t>
            </w:r>
          </w:p>
        </w:tc>
        <w:tc>
          <w:tcPr>
            <w:tcW w:w="1800" w:type="dxa"/>
          </w:tcPr>
          <w:p w14:paraId="5C56AAD2" w14:textId="45C934E6" w:rsidR="009D5A0C" w:rsidRPr="009D5A0C" w:rsidRDefault="009D5A0C" w:rsidP="008B5F01"/>
        </w:tc>
      </w:tr>
      <w:tr w:rsidR="009D5A0C" w:rsidRPr="009D5A0C" w14:paraId="732A52B2" w14:textId="5F526E41" w:rsidTr="009D5A0C">
        <w:tc>
          <w:tcPr>
            <w:tcW w:w="2830" w:type="dxa"/>
          </w:tcPr>
          <w:p w14:paraId="42CB0F75" w14:textId="4CB93ED4" w:rsidR="009D5A0C" w:rsidRPr="009D5A0C" w:rsidRDefault="009D5A0C" w:rsidP="00FE3E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Jones R, 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F, Cowell RP. </w:t>
            </w:r>
            <w:r w:rsidRPr="009D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>An unusual case of malignant hyperthermia presenting on the acute medical take.</w:t>
            </w:r>
          </w:p>
          <w:p w14:paraId="3DC41188" w14:textId="6D583DFD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Br J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Hosp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Med (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Lond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). 2015 Feb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;76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(2):110-1.</w:t>
            </w:r>
          </w:p>
          <w:p w14:paraId="32CE8D64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912FF48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63M for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panendoscopy</w:t>
            </w:r>
            <w:proofErr w:type="spellEnd"/>
          </w:p>
        </w:tc>
        <w:tc>
          <w:tcPr>
            <w:tcW w:w="1440" w:type="dxa"/>
          </w:tcPr>
          <w:p w14:paraId="740A991A" w14:textId="4F1FA59C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Initial generalized rigidity.</w:t>
            </w:r>
          </w:p>
          <w:p w14:paraId="31CC85D1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Delayed rhabdomyolysis with single dose of succinylcholine (presented with CK= 42000, pH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:7.23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, PCO2:62 mmHg, 4 hours after use).</w:t>
            </w:r>
          </w:p>
          <w:p w14:paraId="28D851B6" w14:textId="5BC4B83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Positive IVCT. Pathology showed central cores.</w:t>
            </w:r>
          </w:p>
        </w:tc>
        <w:tc>
          <w:tcPr>
            <w:tcW w:w="1530" w:type="dxa"/>
          </w:tcPr>
          <w:p w14:paraId="03AA9473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was given.</w:t>
            </w:r>
          </w:p>
          <w:p w14:paraId="420DB833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383D1" w14:textId="0C211FD3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FECBF5" w14:textId="5D25AF9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Developed renal failure requiring hemodialysis.</w:t>
            </w:r>
          </w:p>
        </w:tc>
        <w:tc>
          <w:tcPr>
            <w:tcW w:w="990" w:type="dxa"/>
          </w:tcPr>
          <w:p w14:paraId="69ABA393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78AF2BA5" w14:textId="605EB19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0 (post discharge case)</w:t>
            </w:r>
          </w:p>
        </w:tc>
        <w:tc>
          <w:tcPr>
            <w:tcW w:w="1800" w:type="dxa"/>
          </w:tcPr>
          <w:p w14:paraId="785C9F5B" w14:textId="645B22BF" w:rsidR="009D5A0C" w:rsidRPr="009D5A0C" w:rsidRDefault="009D5A0C" w:rsidP="00FE3EA2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A0C" w:rsidRPr="009D5A0C" w14:paraId="75FF78E4" w14:textId="6C371CE5" w:rsidTr="009D5A0C">
        <w:tc>
          <w:tcPr>
            <w:tcW w:w="2830" w:type="dxa"/>
          </w:tcPr>
          <w:p w14:paraId="55F9BB36" w14:textId="0E367F77" w:rsidR="009D5A0C" w:rsidRPr="009D5A0C" w:rsidRDefault="009D5A0C" w:rsidP="00FE3E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Gokhale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YA,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Marathe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P,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Patil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RD,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Prasar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Kamble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P,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Hase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NK, Agrawal MB,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Deshmukh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SN, Menon PS. </w:t>
            </w:r>
            <w:r w:rsidRPr="009D5A0C">
              <w:rPr>
                <w:rFonts w:ascii="Times New Roman" w:hAnsi="Times New Roman" w:cs="Times New Roman"/>
                <w:bCs/>
                <w:sz w:val="20"/>
                <w:szCs w:val="20"/>
              </w:rPr>
              <w:t>Rhabdomyolysis and acute renal failure following a single dose of succinylcholine.</w:t>
            </w:r>
          </w:p>
          <w:p w14:paraId="39B37D50" w14:textId="0B98A62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Physicians India.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1991 ;39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(12):968-70.</w:t>
            </w:r>
          </w:p>
          <w:p w14:paraId="166F5944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8C055E0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33M for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tympanoplasty</w:t>
            </w:r>
            <w:proofErr w:type="spellEnd"/>
          </w:p>
        </w:tc>
        <w:tc>
          <w:tcPr>
            <w:tcW w:w="1440" w:type="dxa"/>
          </w:tcPr>
          <w:p w14:paraId="24DC1AD5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1.5 mg/kg succinylcholine. Myoglobinuria 6 hours postop</w:t>
            </w:r>
          </w:p>
          <w:p w14:paraId="2AFE12BB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B59DB" w14:textId="70214FFF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Not tested.</w:t>
            </w:r>
          </w:p>
        </w:tc>
        <w:tc>
          <w:tcPr>
            <w:tcW w:w="1530" w:type="dxa"/>
          </w:tcPr>
          <w:p w14:paraId="69A2D41D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Not mentioned</w:t>
            </w:r>
          </w:p>
        </w:tc>
        <w:tc>
          <w:tcPr>
            <w:tcW w:w="1260" w:type="dxa"/>
          </w:tcPr>
          <w:p w14:paraId="3EBAA2D3" w14:textId="09CD342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Developed renal failure.</w:t>
            </w:r>
          </w:p>
        </w:tc>
        <w:tc>
          <w:tcPr>
            <w:tcW w:w="990" w:type="dxa"/>
          </w:tcPr>
          <w:p w14:paraId="53A6B594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3D90C5C2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195C5F33" w14:textId="167E7ECF" w:rsidR="009D5A0C" w:rsidRPr="009D5A0C" w:rsidRDefault="009D5A0C" w:rsidP="00FE3EA2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A0C" w:rsidRPr="009D5A0C" w14:paraId="62647B43" w14:textId="7688E03C" w:rsidTr="009D5A0C">
        <w:tc>
          <w:tcPr>
            <w:tcW w:w="2830" w:type="dxa"/>
          </w:tcPr>
          <w:p w14:paraId="1C4505F4" w14:textId="24361A24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>Summary of Literature Cases: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 deleted non-anesthetic triggered MH (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Lavezzi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et al. and cases that could not be examined due to non-English language)</w:t>
            </w:r>
          </w:p>
        </w:tc>
        <w:tc>
          <w:tcPr>
            <w:tcW w:w="1508" w:type="dxa"/>
          </w:tcPr>
          <w:p w14:paraId="1F02169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2A6EFC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F08D3E" w14:textId="11A9E74C" w:rsidR="009D5A0C" w:rsidRPr="009D5A0C" w:rsidRDefault="009D5A0C" w:rsidP="005F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10 received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that was clinically indicated</w:t>
            </w:r>
          </w:p>
        </w:tc>
        <w:tc>
          <w:tcPr>
            <w:tcW w:w="1260" w:type="dxa"/>
          </w:tcPr>
          <w:p w14:paraId="7DFDC923" w14:textId="1363690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12 eligible cases were associated with MH complications.  No deaths in eligible cases.</w:t>
            </w:r>
          </w:p>
        </w:tc>
        <w:tc>
          <w:tcPr>
            <w:tcW w:w="990" w:type="dxa"/>
          </w:tcPr>
          <w:p w14:paraId="4ED77192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CC3E8" w14:textId="1B7657DD" w:rsidR="009D5A0C" w:rsidRPr="009D5A0C" w:rsidRDefault="009D5A0C" w:rsidP="009D5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(18 from US or Canada)</w:t>
            </w:r>
          </w:p>
        </w:tc>
        <w:tc>
          <w:tcPr>
            <w:tcW w:w="1800" w:type="dxa"/>
          </w:tcPr>
          <w:p w14:paraId="7C0F54DB" w14:textId="2B484594" w:rsidR="009D5A0C" w:rsidRPr="009D5A0C" w:rsidRDefault="009D5A0C" w:rsidP="00FE3EA2"/>
        </w:tc>
      </w:tr>
      <w:tr w:rsidR="009D5A0C" w:rsidRPr="009D5A0C" w14:paraId="6010316F" w14:textId="0C2E6DC5" w:rsidTr="009D5A0C">
        <w:tc>
          <w:tcPr>
            <w:tcW w:w="2830" w:type="dxa"/>
          </w:tcPr>
          <w:p w14:paraId="3777B8C9" w14:textId="77777777" w:rsidR="009D5A0C" w:rsidRPr="009D5A0C" w:rsidRDefault="009D5A0C" w:rsidP="00FE3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6F8D2A9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B6567E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20E2FB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61780B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613872A" w14:textId="7777777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35266F" w14:textId="77777777" w:rsidR="009D5A0C" w:rsidRPr="009D5A0C" w:rsidRDefault="009D5A0C" w:rsidP="00FE3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C35DDA7" w14:textId="77777777" w:rsidR="009D5A0C" w:rsidRPr="009D5A0C" w:rsidRDefault="009D5A0C" w:rsidP="00FE3EA2"/>
        </w:tc>
      </w:tr>
      <w:tr w:rsidR="009D5A0C" w:rsidRPr="009D5A0C" w14:paraId="76936F1F" w14:textId="69854D9F" w:rsidTr="009D5A0C">
        <w:tc>
          <w:tcPr>
            <w:tcW w:w="2830" w:type="dxa"/>
          </w:tcPr>
          <w:p w14:paraId="1075C0C4" w14:textId="696C532A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Anesthesia Closed Claims Project MH cases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triggered by succinylcholine without volatile anesthetics from U.S. cases with an event year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between 1970 – 2014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(not reported in any published references or to NAMHR).</w:t>
            </w:r>
          </w:p>
        </w:tc>
        <w:tc>
          <w:tcPr>
            <w:tcW w:w="1508" w:type="dxa"/>
          </w:tcPr>
          <w:p w14:paraId="1070E0B2" w14:textId="21113F68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30F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for  emergency</w:t>
            </w:r>
            <w:proofErr w:type="gram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Cesarean section in hospital in 1984.</w:t>
            </w:r>
          </w:p>
        </w:tc>
        <w:tc>
          <w:tcPr>
            <w:tcW w:w="1440" w:type="dxa"/>
          </w:tcPr>
          <w:p w14:paraId="5568B6B3" w14:textId="6D42A659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Three doses of succinylcholine.  Death in mother; newborn survived.</w:t>
            </w:r>
          </w:p>
        </w:tc>
        <w:tc>
          <w:tcPr>
            <w:tcW w:w="1530" w:type="dxa"/>
          </w:tcPr>
          <w:p w14:paraId="2D35C70C" w14:textId="475F6B40" w:rsidR="009D5A0C" w:rsidRPr="009D5A0C" w:rsidRDefault="009D5A0C" w:rsidP="008B5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1 fulminant case with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indicated and given after examination of AMRA forms by MGL/BWB/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SR  </w:t>
            </w:r>
            <w:proofErr w:type="gramEnd"/>
          </w:p>
        </w:tc>
        <w:tc>
          <w:tcPr>
            <w:tcW w:w="1260" w:type="dxa"/>
          </w:tcPr>
          <w:p w14:paraId="42C5B7BF" w14:textId="6D6C2055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1 MH death</w:t>
            </w:r>
          </w:p>
        </w:tc>
        <w:tc>
          <w:tcPr>
            <w:tcW w:w="990" w:type="dxa"/>
          </w:tcPr>
          <w:p w14:paraId="4571A2C1" w14:textId="30F4A24A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37DA799" w14:textId="0F1E966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fulminant case (US and does not overlap with other literature cases cited above)</w:t>
            </w:r>
          </w:p>
        </w:tc>
        <w:tc>
          <w:tcPr>
            <w:tcW w:w="1800" w:type="dxa"/>
          </w:tcPr>
          <w:p w14:paraId="39FFB3A4" w14:textId="538FFF2C" w:rsidR="009D5A0C" w:rsidRPr="009D5A0C" w:rsidRDefault="009D5A0C" w:rsidP="00621666"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Reporting </w:t>
            </w:r>
            <w:proofErr w:type="gram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bias  </w:t>
            </w:r>
            <w:proofErr w:type="gramEnd"/>
          </w:p>
        </w:tc>
      </w:tr>
      <w:tr w:rsidR="009D5A0C" w:rsidRPr="009D5A0C" w14:paraId="48B080BB" w14:textId="605006C3" w:rsidTr="009D5A0C">
        <w:tc>
          <w:tcPr>
            <w:tcW w:w="2830" w:type="dxa"/>
          </w:tcPr>
          <w:p w14:paraId="58933057" w14:textId="7A6001B9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NAMHR MH cases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triggered by succinylcholine without volatile anesthetics from 2013-2016 (not reported in any of the published references above)</w:t>
            </w:r>
          </w:p>
        </w:tc>
        <w:tc>
          <w:tcPr>
            <w:tcW w:w="1508" w:type="dxa"/>
          </w:tcPr>
          <w:p w14:paraId="0370F7D7" w14:textId="5F4352CB" w:rsidR="009D5A0C" w:rsidRPr="009D5A0C" w:rsidRDefault="009D5A0C" w:rsidP="00FE3EA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2 cases triggered in a hospital</w:t>
            </w:r>
          </w:p>
          <w:p w14:paraId="16FB61AF" w14:textId="77777777" w:rsidR="009D5A0C" w:rsidRPr="009D5A0C" w:rsidRDefault="009D5A0C" w:rsidP="00FE3EA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21B26BE0" w14:textId="18C341B5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83C831" w14:textId="023E0EED" w:rsidR="009D5A0C" w:rsidRPr="009D5A0C" w:rsidRDefault="009D5A0C" w:rsidP="004B5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CGS 43, 58</w:t>
            </w:r>
          </w:p>
          <w:p w14:paraId="54E123ED" w14:textId="20134312" w:rsidR="009D5A0C" w:rsidRPr="009D5A0C" w:rsidRDefault="009D5A0C" w:rsidP="004B5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No CHCT or genetic testing was done.</w:t>
            </w:r>
          </w:p>
        </w:tc>
        <w:tc>
          <w:tcPr>
            <w:tcW w:w="1530" w:type="dxa"/>
          </w:tcPr>
          <w:p w14:paraId="415A9951" w14:textId="25805591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2 cases received </w:t>
            </w:r>
            <w:proofErr w:type="spellStart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dantrolene</w:t>
            </w:r>
            <w:proofErr w:type="spellEnd"/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that was indicated and given after examination of AMRA forms by MGL/BWB/SR.</w:t>
            </w:r>
          </w:p>
          <w:p w14:paraId="5C2C13BD" w14:textId="594406FB" w:rsidR="009D5A0C" w:rsidRPr="009D5A0C" w:rsidRDefault="009D5A0C" w:rsidP="00FE3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B38F69" w14:textId="1265DA52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2 cases with morbidity (decreased level of consciousness) likely due to MH /no mortality</w:t>
            </w:r>
          </w:p>
        </w:tc>
        <w:tc>
          <w:tcPr>
            <w:tcW w:w="990" w:type="dxa"/>
          </w:tcPr>
          <w:p w14:paraId="2A8F8F10" w14:textId="056241F7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070210B" w14:textId="16F6F735" w:rsidR="009D5A0C" w:rsidRPr="009D5A0C" w:rsidRDefault="009D5A0C" w:rsidP="009D5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 xml:space="preserve"> 2 cases that did not overlap with other cases cited above.  </w:t>
            </w:r>
          </w:p>
        </w:tc>
        <w:tc>
          <w:tcPr>
            <w:tcW w:w="1800" w:type="dxa"/>
          </w:tcPr>
          <w:p w14:paraId="79204FE3" w14:textId="3683697E" w:rsidR="009D5A0C" w:rsidRPr="009D5A0C" w:rsidRDefault="009D5A0C" w:rsidP="00FE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0C">
              <w:rPr>
                <w:rFonts w:ascii="Times New Roman" w:hAnsi="Times New Roman" w:cs="Times New Roman"/>
                <w:sz w:val="20"/>
                <w:szCs w:val="20"/>
              </w:rPr>
              <w:t>Reporting bias</w:t>
            </w:r>
          </w:p>
        </w:tc>
      </w:tr>
    </w:tbl>
    <w:p w14:paraId="0DD38B1E" w14:textId="0A3E6B91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078CAF0E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3B24658E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7E58DEA3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3261FC31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7414A9B5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57BF70A6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66517FB9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5F9DB9DE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40F05570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5F0A70B8" w14:textId="77777777" w:rsidR="00FE3EA2" w:rsidRDefault="00FE3EA2">
      <w:pPr>
        <w:rPr>
          <w:rFonts w:ascii="Times New Roman" w:hAnsi="Times New Roman" w:cs="Times New Roman"/>
          <w:sz w:val="20"/>
          <w:szCs w:val="20"/>
        </w:rPr>
      </w:pPr>
    </w:p>
    <w:p w14:paraId="5F01C3A5" w14:textId="77777777" w:rsidR="004B5C10" w:rsidRDefault="004B5C10">
      <w:pPr>
        <w:rPr>
          <w:rFonts w:ascii="Times New Roman" w:hAnsi="Times New Roman" w:cs="Times New Roman"/>
          <w:sz w:val="20"/>
          <w:szCs w:val="20"/>
        </w:rPr>
      </w:pPr>
    </w:p>
    <w:p w14:paraId="6EEDC176" w14:textId="77777777" w:rsidR="004B5C10" w:rsidRDefault="004B5C10">
      <w:pPr>
        <w:rPr>
          <w:rFonts w:ascii="Times New Roman" w:hAnsi="Times New Roman" w:cs="Times New Roman"/>
          <w:sz w:val="20"/>
          <w:szCs w:val="20"/>
        </w:rPr>
      </w:pPr>
    </w:p>
    <w:p w14:paraId="1595A92B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29879257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5105E487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6A1CEF79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731BEC64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1148A6B3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2B2FE9EF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682E458C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522EEFE3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6DB5C41C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71314E8B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0B9F2BC0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745E24F6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5ABCE4C1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1BA0B5D4" w14:textId="77777777" w:rsidR="00C11948" w:rsidRDefault="00C11948">
      <w:pPr>
        <w:rPr>
          <w:rFonts w:ascii="Times New Roman" w:hAnsi="Times New Roman" w:cs="Times New Roman"/>
          <w:sz w:val="20"/>
          <w:szCs w:val="20"/>
        </w:rPr>
      </w:pPr>
    </w:p>
    <w:p w14:paraId="1E013062" w14:textId="3A2FD4BD" w:rsidR="00BC438B" w:rsidRDefault="008B4F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AMRA: Adverse metabolic</w:t>
      </w:r>
      <w:r w:rsidR="0070229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musculoskeletal reaction</w:t>
      </w:r>
      <w:r w:rsidR="0070229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to anesthesia, </w:t>
      </w:r>
      <w:r w:rsidR="00BC438B">
        <w:rPr>
          <w:rFonts w:ascii="Times New Roman" w:hAnsi="Times New Roman" w:cs="Times New Roman"/>
          <w:sz w:val="20"/>
          <w:szCs w:val="20"/>
        </w:rPr>
        <w:t xml:space="preserve">CGS: Clinical grading scale, CHCT: Caffeine-halothane contracture test, </w:t>
      </w:r>
      <w:r w:rsidR="000F65F7">
        <w:rPr>
          <w:rFonts w:ascii="Times New Roman" w:hAnsi="Times New Roman" w:cs="Times New Roman"/>
          <w:sz w:val="20"/>
          <w:szCs w:val="20"/>
        </w:rPr>
        <w:t xml:space="preserve">CICR: calcium-induced calcium release, </w:t>
      </w:r>
      <w:r w:rsidR="00BC438B">
        <w:rPr>
          <w:rFonts w:ascii="Times New Roman" w:hAnsi="Times New Roman" w:cs="Times New Roman"/>
          <w:sz w:val="20"/>
          <w:szCs w:val="20"/>
        </w:rPr>
        <w:t xml:space="preserve">CK: Creatine Kinase, ECT: Electroconvulsive therapy, </w:t>
      </w:r>
      <w:r w:rsidR="00E27E54">
        <w:rPr>
          <w:rFonts w:ascii="Times New Roman" w:hAnsi="Times New Roman" w:cs="Times New Roman"/>
          <w:sz w:val="20"/>
          <w:szCs w:val="20"/>
        </w:rPr>
        <w:t xml:space="preserve">ED: Emergency Department, </w:t>
      </w:r>
      <w:r w:rsidR="00BC438B">
        <w:rPr>
          <w:rFonts w:ascii="Times New Roman" w:hAnsi="Times New Roman" w:cs="Times New Roman"/>
          <w:sz w:val="20"/>
          <w:szCs w:val="20"/>
        </w:rPr>
        <w:t xml:space="preserve">F: Female, </w:t>
      </w:r>
      <w:r w:rsidR="0087447C">
        <w:rPr>
          <w:rFonts w:ascii="Times New Roman" w:hAnsi="Times New Roman" w:cs="Times New Roman"/>
          <w:sz w:val="20"/>
          <w:szCs w:val="20"/>
        </w:rPr>
        <w:t xml:space="preserve">IVCT: in vitro contracture test, </w:t>
      </w:r>
      <w:r w:rsidR="00BC438B">
        <w:rPr>
          <w:rFonts w:ascii="Times New Roman" w:hAnsi="Times New Roman" w:cs="Times New Roman"/>
          <w:sz w:val="20"/>
          <w:szCs w:val="20"/>
        </w:rPr>
        <w:t xml:space="preserve">M: Male, </w:t>
      </w:r>
      <w:r w:rsidR="00E27E54">
        <w:rPr>
          <w:rFonts w:ascii="Times New Roman" w:hAnsi="Times New Roman" w:cs="Times New Roman"/>
          <w:sz w:val="20"/>
          <w:szCs w:val="20"/>
        </w:rPr>
        <w:t xml:space="preserve">MH: Malignant hyperthermia, </w:t>
      </w:r>
      <w:r w:rsidR="0087447C">
        <w:rPr>
          <w:rFonts w:ascii="Times New Roman" w:hAnsi="Times New Roman" w:cs="Times New Roman"/>
          <w:sz w:val="20"/>
          <w:szCs w:val="20"/>
        </w:rPr>
        <w:t>MMR: Masseter muscle rigidity</w:t>
      </w:r>
      <w:r w:rsidR="000F65F7">
        <w:rPr>
          <w:rFonts w:ascii="Times New Roman" w:hAnsi="Times New Roman" w:cs="Times New Roman"/>
          <w:sz w:val="20"/>
          <w:szCs w:val="20"/>
        </w:rPr>
        <w:t xml:space="preserve">, </w:t>
      </w:r>
      <w:r w:rsidR="001268B2">
        <w:rPr>
          <w:rFonts w:ascii="Times New Roman" w:hAnsi="Times New Roman" w:cs="Times New Roman"/>
          <w:sz w:val="20"/>
          <w:szCs w:val="20"/>
        </w:rPr>
        <w:t xml:space="preserve">NAMHR: North American Malignant Hyperthermia Registry of MHAUS, </w:t>
      </w:r>
      <w:r w:rsidR="00E27E54">
        <w:rPr>
          <w:rFonts w:ascii="Times New Roman" w:hAnsi="Times New Roman" w:cs="Times New Roman"/>
          <w:sz w:val="20"/>
          <w:szCs w:val="20"/>
        </w:rPr>
        <w:t xml:space="preserve">OR: operating room, PACU: post-anesthesia care unit, </w:t>
      </w:r>
      <w:r w:rsidR="000F65F7">
        <w:rPr>
          <w:rFonts w:ascii="Times New Roman" w:hAnsi="Times New Roman" w:cs="Times New Roman"/>
          <w:sz w:val="20"/>
          <w:szCs w:val="20"/>
        </w:rPr>
        <w:t>TIVA: Total intravenous anesthesia</w:t>
      </w:r>
      <w:r w:rsidR="0087447C">
        <w:rPr>
          <w:rFonts w:ascii="Times New Roman" w:hAnsi="Times New Roman" w:cs="Times New Roman"/>
          <w:sz w:val="20"/>
          <w:szCs w:val="20"/>
        </w:rPr>
        <w:t>.</w:t>
      </w:r>
    </w:p>
    <w:p w14:paraId="7F6C4733" w14:textId="30B92E92" w:rsidR="00C11948" w:rsidRDefault="008B4F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MGL: </w:t>
      </w:r>
      <w:r w:rsidR="00C11948">
        <w:rPr>
          <w:rFonts w:ascii="Times New Roman" w:hAnsi="Times New Roman" w:cs="Times New Roman"/>
          <w:sz w:val="20"/>
          <w:szCs w:val="20"/>
        </w:rPr>
        <w:t>Marilyn Gr</w:t>
      </w:r>
      <w:r>
        <w:rPr>
          <w:rFonts w:ascii="Times New Roman" w:hAnsi="Times New Roman" w:cs="Times New Roman"/>
          <w:sz w:val="20"/>
          <w:szCs w:val="20"/>
        </w:rPr>
        <w:t xml:space="preserve">een Larach, M.D., F.A.A.P., BWB: Barbara W. </w:t>
      </w:r>
      <w:proofErr w:type="spellStart"/>
      <w:r>
        <w:rPr>
          <w:rFonts w:ascii="Times New Roman" w:hAnsi="Times New Roman" w:cs="Times New Roman"/>
          <w:sz w:val="20"/>
          <w:szCs w:val="20"/>
        </w:rPr>
        <w:t>Brandom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M.D., SR: Sheila </w:t>
      </w:r>
      <w:proofErr w:type="spellStart"/>
      <w:r>
        <w:rPr>
          <w:rFonts w:ascii="Times New Roman" w:hAnsi="Times New Roman" w:cs="Times New Roman"/>
          <w:sz w:val="20"/>
          <w:szCs w:val="20"/>
        </w:rPr>
        <w:t>Riazi</w:t>
      </w:r>
      <w:proofErr w:type="spellEnd"/>
      <w:r>
        <w:rPr>
          <w:rFonts w:ascii="Times New Roman" w:hAnsi="Times New Roman" w:cs="Times New Roman"/>
          <w:sz w:val="20"/>
          <w:szCs w:val="20"/>
        </w:rPr>
        <w:t>, M.Sc., M.D., FRCPC</w:t>
      </w:r>
    </w:p>
    <w:p w14:paraId="3BBB6383" w14:textId="77777777" w:rsidR="00CE7489" w:rsidRDefault="00CE7489">
      <w:pPr>
        <w:rPr>
          <w:rFonts w:ascii="Times New Roman" w:hAnsi="Times New Roman" w:cs="Times New Roman"/>
          <w:sz w:val="20"/>
          <w:szCs w:val="20"/>
        </w:rPr>
      </w:pPr>
    </w:p>
    <w:p w14:paraId="46F7F4E3" w14:textId="77777777" w:rsidR="00CE7489" w:rsidRDefault="00CE748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9E7040C" w14:textId="77777777" w:rsidR="00B22001" w:rsidRPr="00496A29" w:rsidRDefault="00B22001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22001" w:rsidRPr="00496A29" w:rsidSect="00FE3EA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62"/>
    <w:rsid w:val="00010644"/>
    <w:rsid w:val="00011A65"/>
    <w:rsid w:val="00037F3D"/>
    <w:rsid w:val="00053CDD"/>
    <w:rsid w:val="00062543"/>
    <w:rsid w:val="00064BFF"/>
    <w:rsid w:val="0009124D"/>
    <w:rsid w:val="0009557B"/>
    <w:rsid w:val="000A3E63"/>
    <w:rsid w:val="000A5BE9"/>
    <w:rsid w:val="000C50C6"/>
    <w:rsid w:val="000E6E72"/>
    <w:rsid w:val="000F65F7"/>
    <w:rsid w:val="00124719"/>
    <w:rsid w:val="001268B2"/>
    <w:rsid w:val="00127A98"/>
    <w:rsid w:val="001622DA"/>
    <w:rsid w:val="00184802"/>
    <w:rsid w:val="001950FE"/>
    <w:rsid w:val="001C412F"/>
    <w:rsid w:val="001E1279"/>
    <w:rsid w:val="001F7529"/>
    <w:rsid w:val="0020238B"/>
    <w:rsid w:val="00224DCD"/>
    <w:rsid w:val="00227EC7"/>
    <w:rsid w:val="00263816"/>
    <w:rsid w:val="002C26E1"/>
    <w:rsid w:val="003275C5"/>
    <w:rsid w:val="003364B0"/>
    <w:rsid w:val="00374C69"/>
    <w:rsid w:val="003F2B05"/>
    <w:rsid w:val="00415CD3"/>
    <w:rsid w:val="0044290D"/>
    <w:rsid w:val="00456F4F"/>
    <w:rsid w:val="004721B8"/>
    <w:rsid w:val="004761DA"/>
    <w:rsid w:val="00496A29"/>
    <w:rsid w:val="004B106D"/>
    <w:rsid w:val="004B52E7"/>
    <w:rsid w:val="004B5C10"/>
    <w:rsid w:val="004C2F97"/>
    <w:rsid w:val="004C4421"/>
    <w:rsid w:val="004D2DA5"/>
    <w:rsid w:val="005056DB"/>
    <w:rsid w:val="0051329B"/>
    <w:rsid w:val="00521AD2"/>
    <w:rsid w:val="00557E3B"/>
    <w:rsid w:val="005F0585"/>
    <w:rsid w:val="00604922"/>
    <w:rsid w:val="00621061"/>
    <w:rsid w:val="00621666"/>
    <w:rsid w:val="006249A7"/>
    <w:rsid w:val="00627854"/>
    <w:rsid w:val="00636AF3"/>
    <w:rsid w:val="00664EE8"/>
    <w:rsid w:val="00686E09"/>
    <w:rsid w:val="006A2841"/>
    <w:rsid w:val="006A5B55"/>
    <w:rsid w:val="006B2A99"/>
    <w:rsid w:val="006D54CC"/>
    <w:rsid w:val="00702297"/>
    <w:rsid w:val="00753757"/>
    <w:rsid w:val="007C1984"/>
    <w:rsid w:val="007C1F89"/>
    <w:rsid w:val="007D4F32"/>
    <w:rsid w:val="007E0089"/>
    <w:rsid w:val="007F5E45"/>
    <w:rsid w:val="0080184A"/>
    <w:rsid w:val="00802114"/>
    <w:rsid w:val="0087447C"/>
    <w:rsid w:val="00884B98"/>
    <w:rsid w:val="008A331E"/>
    <w:rsid w:val="008B1F2D"/>
    <w:rsid w:val="008B4F2B"/>
    <w:rsid w:val="008B5F01"/>
    <w:rsid w:val="008E050F"/>
    <w:rsid w:val="008F77CF"/>
    <w:rsid w:val="009B5C3C"/>
    <w:rsid w:val="009B5DA3"/>
    <w:rsid w:val="009D5A0C"/>
    <w:rsid w:val="009F0703"/>
    <w:rsid w:val="009F4CB1"/>
    <w:rsid w:val="009F7A47"/>
    <w:rsid w:val="00A32D5C"/>
    <w:rsid w:val="00A47C14"/>
    <w:rsid w:val="00A9609D"/>
    <w:rsid w:val="00AE08BA"/>
    <w:rsid w:val="00B057E4"/>
    <w:rsid w:val="00B17C61"/>
    <w:rsid w:val="00B22001"/>
    <w:rsid w:val="00B661E8"/>
    <w:rsid w:val="00B83496"/>
    <w:rsid w:val="00BB10DF"/>
    <w:rsid w:val="00BC438B"/>
    <w:rsid w:val="00BE5697"/>
    <w:rsid w:val="00C11948"/>
    <w:rsid w:val="00C23824"/>
    <w:rsid w:val="00C33E4A"/>
    <w:rsid w:val="00C55BE3"/>
    <w:rsid w:val="00C84B96"/>
    <w:rsid w:val="00CB0464"/>
    <w:rsid w:val="00CB3962"/>
    <w:rsid w:val="00CE7489"/>
    <w:rsid w:val="00D33005"/>
    <w:rsid w:val="00D5516E"/>
    <w:rsid w:val="00D64E60"/>
    <w:rsid w:val="00D9126E"/>
    <w:rsid w:val="00D91B82"/>
    <w:rsid w:val="00DD0DBB"/>
    <w:rsid w:val="00DE1522"/>
    <w:rsid w:val="00DE259B"/>
    <w:rsid w:val="00E27222"/>
    <w:rsid w:val="00E27E54"/>
    <w:rsid w:val="00E37DC2"/>
    <w:rsid w:val="00E50CD1"/>
    <w:rsid w:val="00E518AB"/>
    <w:rsid w:val="00E8161E"/>
    <w:rsid w:val="00E93819"/>
    <w:rsid w:val="00EA5AA9"/>
    <w:rsid w:val="00ED1AE2"/>
    <w:rsid w:val="00EE17C8"/>
    <w:rsid w:val="00F013B8"/>
    <w:rsid w:val="00F41FCF"/>
    <w:rsid w:val="00F5524D"/>
    <w:rsid w:val="00F7156D"/>
    <w:rsid w:val="00F87208"/>
    <w:rsid w:val="00FA31CB"/>
    <w:rsid w:val="00FB6AD8"/>
    <w:rsid w:val="00FD0502"/>
    <w:rsid w:val="00FE3EA2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273D3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331E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96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39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B396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8A331E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paragraph" w:styleId="Header">
    <w:name w:val="header"/>
    <w:basedOn w:val="Normal"/>
    <w:link w:val="HeaderChar"/>
    <w:rsid w:val="008A331E"/>
    <w:pPr>
      <w:tabs>
        <w:tab w:val="center" w:pos="4320"/>
        <w:tab w:val="right" w:pos="8640"/>
      </w:tabs>
    </w:pPr>
    <w:rPr>
      <w:rFonts w:ascii="Garamond" w:eastAsia="Times New Roman" w:hAnsi="Garamond" w:cs="Times New Roman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8A331E"/>
    <w:rPr>
      <w:rFonts w:ascii="Garamond" w:eastAsia="Times New Roman" w:hAnsi="Garamond" w:cs="Times New Roman"/>
      <w:color w:val="008000"/>
      <w:w w:val="1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C438B"/>
    <w:rPr>
      <w:color w:val="954F72" w:themeColor="followedHyperlink"/>
      <w:u w:val="single"/>
    </w:rPr>
  </w:style>
  <w:style w:type="character" w:customStyle="1" w:styleId="jrnl">
    <w:name w:val="jrnl"/>
    <w:basedOn w:val="DefaultParagraphFont"/>
    <w:rsid w:val="000F65F7"/>
  </w:style>
  <w:style w:type="character" w:styleId="CommentReference">
    <w:name w:val="annotation reference"/>
    <w:basedOn w:val="DefaultParagraphFont"/>
    <w:uiPriority w:val="99"/>
    <w:semiHidden/>
    <w:unhideWhenUsed/>
    <w:rsid w:val="001247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7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7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7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7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4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331E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96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39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B396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8A331E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paragraph" w:styleId="Header">
    <w:name w:val="header"/>
    <w:basedOn w:val="Normal"/>
    <w:link w:val="HeaderChar"/>
    <w:rsid w:val="008A331E"/>
    <w:pPr>
      <w:tabs>
        <w:tab w:val="center" w:pos="4320"/>
        <w:tab w:val="right" w:pos="8640"/>
      </w:tabs>
    </w:pPr>
    <w:rPr>
      <w:rFonts w:ascii="Garamond" w:eastAsia="Times New Roman" w:hAnsi="Garamond" w:cs="Times New Roman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8A331E"/>
    <w:rPr>
      <w:rFonts w:ascii="Garamond" w:eastAsia="Times New Roman" w:hAnsi="Garamond" w:cs="Times New Roman"/>
      <w:color w:val="008000"/>
      <w:w w:val="1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C438B"/>
    <w:rPr>
      <w:color w:val="954F72" w:themeColor="followedHyperlink"/>
      <w:u w:val="single"/>
    </w:rPr>
  </w:style>
  <w:style w:type="character" w:customStyle="1" w:styleId="jrnl">
    <w:name w:val="jrnl"/>
    <w:basedOn w:val="DefaultParagraphFont"/>
    <w:rsid w:val="000F65F7"/>
  </w:style>
  <w:style w:type="character" w:styleId="CommentReference">
    <w:name w:val="annotation reference"/>
    <w:basedOn w:val="DefaultParagraphFont"/>
    <w:uiPriority w:val="99"/>
    <w:semiHidden/>
    <w:unhideWhenUsed/>
    <w:rsid w:val="001247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7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7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7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7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05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9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9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0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1273</Words>
  <Characters>7262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riazi</dc:creator>
  <cp:keywords/>
  <dc:description/>
  <cp:lastModifiedBy>Marilyn Larach</cp:lastModifiedBy>
  <cp:revision>3</cp:revision>
  <dcterms:created xsi:type="dcterms:W3CDTF">2018-09-24T15:05:00Z</dcterms:created>
  <dcterms:modified xsi:type="dcterms:W3CDTF">2018-09-24T15:06:00Z</dcterms:modified>
</cp:coreProperties>
</file>