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3C680" w14:textId="7FE11E0A" w:rsidR="00170A27" w:rsidRPr="001235B9" w:rsidRDefault="00FF4F33" w:rsidP="00170A27">
      <w:pPr>
        <w:rPr>
          <w:b/>
        </w:rPr>
      </w:pPr>
      <w:proofErr w:type="gramStart"/>
      <w:r w:rsidRPr="001235B9">
        <w:rPr>
          <w:b/>
        </w:rPr>
        <w:t xml:space="preserve">Supplemental Digital Content </w:t>
      </w:r>
      <w:r w:rsidR="00C35350" w:rsidRPr="001235B9">
        <w:rPr>
          <w:b/>
        </w:rPr>
        <w:t>7</w:t>
      </w:r>
      <w:r w:rsidRPr="001235B9">
        <w:rPr>
          <w:b/>
        </w:rPr>
        <w:t>.</w:t>
      </w:r>
      <w:proofErr w:type="gramEnd"/>
      <w:r w:rsidRPr="001235B9">
        <w:rPr>
          <w:b/>
        </w:rPr>
        <w:t xml:space="preserve">  </w:t>
      </w:r>
      <w:r w:rsidR="00C35350" w:rsidRPr="001235B9">
        <w:rPr>
          <w:b/>
        </w:rPr>
        <w:t>Question 3a, (</w:t>
      </w:r>
      <w:r w:rsidRPr="001235B9">
        <w:rPr>
          <w:b/>
        </w:rPr>
        <w:t>Queries 9, 10, 11</w:t>
      </w:r>
      <w:r w:rsidR="00C35350" w:rsidRPr="001235B9">
        <w:rPr>
          <w:b/>
        </w:rPr>
        <w:t>)</w:t>
      </w:r>
      <w:r w:rsidRPr="001235B9">
        <w:rPr>
          <w:b/>
        </w:rPr>
        <w:t xml:space="preserve">:  </w:t>
      </w:r>
      <w:r w:rsidR="00170A27" w:rsidRPr="001235B9">
        <w:rPr>
          <w:b/>
        </w:rPr>
        <w:t xml:space="preserve">What </w:t>
      </w:r>
      <w:r w:rsidRPr="001235B9">
        <w:rPr>
          <w:b/>
        </w:rPr>
        <w:t xml:space="preserve">morbidities are associated with an acute </w:t>
      </w:r>
      <w:r w:rsidR="0063458C" w:rsidRPr="001235B9">
        <w:rPr>
          <w:b/>
        </w:rPr>
        <w:t>malignant hyperthermia (</w:t>
      </w:r>
      <w:r w:rsidRPr="001235B9">
        <w:rPr>
          <w:b/>
        </w:rPr>
        <w:t>MH</w:t>
      </w:r>
      <w:r w:rsidR="0063458C" w:rsidRPr="001235B9">
        <w:rPr>
          <w:b/>
        </w:rPr>
        <w:t>)</w:t>
      </w:r>
      <w:r w:rsidRPr="001235B9">
        <w:rPr>
          <w:b/>
        </w:rPr>
        <w:t xml:space="preserve"> event in the US and Canada?  What is the MH morbidity rate in the US and Canada?  What </w:t>
      </w:r>
      <w:r w:rsidR="00170A27" w:rsidRPr="001235B9">
        <w:rPr>
          <w:b/>
        </w:rPr>
        <w:t xml:space="preserve">is the impact of </w:t>
      </w:r>
      <w:proofErr w:type="spellStart"/>
      <w:r w:rsidR="00170A27" w:rsidRPr="001235B9">
        <w:rPr>
          <w:b/>
        </w:rPr>
        <w:t>dantrolene</w:t>
      </w:r>
      <w:proofErr w:type="spellEnd"/>
      <w:r w:rsidR="00170A27" w:rsidRPr="001235B9">
        <w:rPr>
          <w:b/>
        </w:rPr>
        <w:t xml:space="preserve"> administration on MH morbidity</w:t>
      </w:r>
      <w:r w:rsidR="000819E3" w:rsidRPr="001235B9">
        <w:rPr>
          <w:b/>
        </w:rPr>
        <w:t xml:space="preserve"> in the US and Canada</w:t>
      </w:r>
      <w:r w:rsidR="00170A27" w:rsidRPr="001235B9">
        <w:rPr>
          <w:b/>
        </w:rPr>
        <w:t xml:space="preserve">?  Does the time of </w:t>
      </w:r>
      <w:proofErr w:type="spellStart"/>
      <w:r w:rsidR="00170A27" w:rsidRPr="001235B9">
        <w:rPr>
          <w:b/>
        </w:rPr>
        <w:t>dantrolene</w:t>
      </w:r>
      <w:proofErr w:type="spellEnd"/>
      <w:r w:rsidR="00170A27" w:rsidRPr="001235B9">
        <w:rPr>
          <w:b/>
        </w:rPr>
        <w:t xml:space="preserve"> </w:t>
      </w:r>
      <w:r w:rsidRPr="001235B9">
        <w:rPr>
          <w:b/>
        </w:rPr>
        <w:t xml:space="preserve">or initial </w:t>
      </w:r>
      <w:proofErr w:type="spellStart"/>
      <w:r w:rsidRPr="001235B9">
        <w:rPr>
          <w:b/>
        </w:rPr>
        <w:t>dantrolene</w:t>
      </w:r>
      <w:proofErr w:type="spellEnd"/>
      <w:r w:rsidRPr="001235B9">
        <w:rPr>
          <w:b/>
        </w:rPr>
        <w:t xml:space="preserve"> dose affect likelihood of </w:t>
      </w:r>
      <w:r w:rsidR="00170A27" w:rsidRPr="001235B9">
        <w:rPr>
          <w:b/>
        </w:rPr>
        <w:t>MH morbidity</w:t>
      </w:r>
      <w:r w:rsidR="000819E3" w:rsidRPr="001235B9">
        <w:rPr>
          <w:b/>
        </w:rPr>
        <w:t xml:space="preserve"> in the US and Canada</w:t>
      </w:r>
      <w:r w:rsidR="00170A27" w:rsidRPr="001235B9">
        <w:rPr>
          <w:b/>
        </w:rPr>
        <w:t xml:space="preserve">?  </w:t>
      </w:r>
    </w:p>
    <w:p w14:paraId="2D02DA64" w14:textId="77777777" w:rsidR="00170A27" w:rsidRDefault="00170A27" w:rsidP="00170A27"/>
    <w:p w14:paraId="2E56E8F7" w14:textId="77777777" w:rsidR="00170A27" w:rsidRDefault="00073C13">
      <w:r>
        <w:rPr>
          <w:noProof/>
        </w:rPr>
        <mc:AlternateContent>
          <mc:Choice Requires="wps">
            <w:drawing>
              <wp:anchor distT="0" distB="0" distL="114300" distR="114300" simplePos="0" relativeHeight="251689984" behindDoc="0" locked="0" layoutInCell="1" allowOverlap="1" wp14:anchorId="16A31C32" wp14:editId="0A7D73F9">
                <wp:simplePos x="0" y="0"/>
                <wp:positionH relativeFrom="column">
                  <wp:posOffset>1371600</wp:posOffset>
                </wp:positionH>
                <wp:positionV relativeFrom="paragraph">
                  <wp:posOffset>1954530</wp:posOffset>
                </wp:positionV>
                <wp:extent cx="2771775" cy="676275"/>
                <wp:effectExtent l="0" t="0" r="9525" b="9525"/>
                <wp:wrapNone/>
                <wp:docPr id="1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1775" cy="676275"/>
                        </a:xfrm>
                        <a:prstGeom prst="rect">
                          <a:avLst/>
                        </a:prstGeom>
                        <a:solidFill>
                          <a:srgbClr val="FFFFFF"/>
                        </a:solidFill>
                        <a:ln w="9525">
                          <a:solidFill>
                            <a:srgbClr val="000000"/>
                          </a:solidFill>
                          <a:miter lim="800000"/>
                          <a:headEnd/>
                          <a:tailEnd/>
                        </a:ln>
                      </wps:spPr>
                      <wps:txbx>
                        <w:txbxContent>
                          <w:p w14:paraId="5E0B4042" w14:textId="77777777" w:rsidR="000C2BC6" w:rsidRDefault="000C2BC6" w:rsidP="00A12A79">
                            <w:pPr>
                              <w:jc w:val="center"/>
                              <w:rPr>
                                <w:rFonts w:ascii="Calibri" w:hAnsi="Calibri"/>
                                <w:sz w:val="22"/>
                                <w:szCs w:val="22"/>
                              </w:rPr>
                            </w:pPr>
                            <w:r>
                              <w:rPr>
                                <w:rFonts w:ascii="Calibri" w:hAnsi="Calibri"/>
                                <w:sz w:val="22"/>
                                <w:szCs w:val="22"/>
                              </w:rPr>
                              <w:t xml:space="preserve">Records remaining after non-human, non-English abstracts, </w:t>
                            </w:r>
                            <w:proofErr w:type="gramStart"/>
                            <w:r>
                              <w:rPr>
                                <w:rFonts w:ascii="Calibri" w:hAnsi="Calibri"/>
                                <w:sz w:val="22"/>
                                <w:szCs w:val="22"/>
                              </w:rPr>
                              <w:t>non US</w:t>
                            </w:r>
                            <w:proofErr w:type="gramEnd"/>
                            <w:r>
                              <w:rPr>
                                <w:rFonts w:ascii="Calibri" w:hAnsi="Calibri"/>
                                <w:sz w:val="22"/>
                                <w:szCs w:val="22"/>
                              </w:rPr>
                              <w:t xml:space="preserve"> or Canadian experience, and duplicates removed (n=47)</w:t>
                            </w:r>
                          </w:p>
                          <w:p w14:paraId="70AD0C0D" w14:textId="77777777" w:rsidR="000C2BC6" w:rsidRDefault="000C2BC6" w:rsidP="00A12A79">
                            <w:pPr>
                              <w:jc w:val="center"/>
                              <w:rPr>
                                <w:rFonts w:ascii="Calibri" w:hAnsi="Calibri"/>
                                <w:sz w:val="22"/>
                                <w:szCs w:val="22"/>
                                <w:lang w:val="en"/>
                              </w:rPr>
                            </w:pPr>
                            <w:r>
                              <w:rPr>
                                <w:rFonts w:ascii="Calibri" w:hAnsi="Calibri"/>
                                <w:sz w:val="22"/>
                                <w:szCs w:val="22"/>
                              </w:rPr>
                              <w:br/>
                              <w:t>(</w:t>
                            </w:r>
                            <w:proofErr w:type="gramStart"/>
                            <w:r>
                              <w:rPr>
                                <w:rFonts w:ascii="Calibri" w:hAnsi="Calibri"/>
                                <w:sz w:val="22"/>
                                <w:szCs w:val="22"/>
                              </w:rPr>
                              <w:t>n</w:t>
                            </w:r>
                            <w:proofErr w:type="gramEnd"/>
                            <w:r>
                              <w:rPr>
                                <w:rFonts w:ascii="Calibri" w:hAnsi="Calibri"/>
                                <w:sz w:val="22"/>
                                <w:szCs w:val="22"/>
                              </w:rPr>
                              <w:t xml:space="preserve">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F59BF" id="Rectangle 33" o:spid="_x0000_s1082" style="position:absolute;margin-left:108pt;margin-top:153.9pt;width:218.25pt;height:5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">
                <v:path arrowok="t"/>
                <v:textbox inset=",7.2pt,,7.2pt">
                  <w:txbxContent>
                    <w:p w14:paraId="0089FE22" w14:textId="77777777" w:rsidR="00726212" w:rsidRDefault="00726212" w:rsidP="00A12A79">
                      <w:pPr>
                        <w:jc w:val="center"/>
                        <w:rPr>
                          <w:rFonts w:ascii="Calibri" w:hAnsi="Calibri"/>
                          <w:sz w:val="22"/>
                          <w:szCs w:val="22"/>
                        </w:rPr>
                      </w:pPr>
                      <w:r>
                        <w:rPr>
                          <w:rFonts w:ascii="Calibri" w:hAnsi="Calibri"/>
                          <w:sz w:val="22"/>
                          <w:szCs w:val="22"/>
                        </w:rPr>
                        <w:t>Records remaining after non-human, non-English abstracts, non US or Canadian experience, and duplicates removed (n=47)</w:t>
                      </w:r>
                    </w:p>
                    <w:p w14:paraId="48E721F0" w14:textId="77777777" w:rsidR="00726212" w:rsidRDefault="00726212" w:rsidP="00A12A79">
                      <w:pPr>
                        <w:jc w:val="center"/>
                        <w:rPr>
                          <w:rFonts w:ascii="Calibri" w:hAnsi="Calibri"/>
                          <w:sz w:val="22"/>
                          <w:szCs w:val="22"/>
                          <w:lang w:val="en"/>
                        </w:rPr>
                      </w:pPr>
                      <w:r>
                        <w:rPr>
                          <w:rFonts w:ascii="Calibri" w:hAnsi="Calibri"/>
                          <w:sz w:val="22"/>
                          <w:szCs w:val="22"/>
                        </w:rPr>
                        <w:br/>
                        <w:t>(n = )</w:t>
                      </w:r>
                    </w:p>
                  </w:txbxContent>
                </v:textbox>
              </v:rect>
            </w:pict>
          </mc:Fallback>
        </mc:AlternateContent>
      </w:r>
      <w:r>
        <w:rPr>
          <w:noProof/>
        </w:rPr>
        <mc:AlternateContent>
          <mc:Choice Requires="wps">
            <w:drawing>
              <wp:anchor distT="36576" distB="36576" distL="36576" distR="36576" simplePos="0" relativeHeight="251695104" behindDoc="0" locked="0" layoutInCell="1" allowOverlap="1" wp14:anchorId="09D6C7B7" wp14:editId="0FB86A0F">
                <wp:simplePos x="0" y="0"/>
                <wp:positionH relativeFrom="column">
                  <wp:posOffset>2743200</wp:posOffset>
                </wp:positionH>
                <wp:positionV relativeFrom="paragraph">
                  <wp:posOffset>4354830</wp:posOffset>
                </wp:positionV>
                <wp:extent cx="0" cy="576580"/>
                <wp:effectExtent l="63500" t="0" r="38100" b="33020"/>
                <wp:wrapNone/>
                <wp:docPr id="1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65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1A8C4" id="AutoShape 38" o:spid="_x0000_s1026" type="#_x0000_t32" style="position:absolute;margin-left:3in;margin-top:342.9pt;width:0;height:45.4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">
                <v:stroke endarrow="block"/>
                <v:shadow color="#ccc"/>
                <o:lock v:ext="edit" shapetype="f"/>
              </v:shape>
            </w:pict>
          </mc:Fallback>
        </mc:AlternateContent>
      </w:r>
      <w:r>
        <w:rPr>
          <w:noProof/>
        </w:rPr>
        <mc:AlternateContent>
          <mc:Choice Requires="wps">
            <w:drawing>
              <wp:anchor distT="36576" distB="36576" distL="36576" distR="36576" simplePos="0" relativeHeight="251694080" behindDoc="0" locked="0" layoutInCell="1" allowOverlap="1" wp14:anchorId="30C98C3B" wp14:editId="3F15718D">
                <wp:simplePos x="0" y="0"/>
                <wp:positionH relativeFrom="column">
                  <wp:posOffset>2743200</wp:posOffset>
                </wp:positionH>
                <wp:positionV relativeFrom="paragraph">
                  <wp:posOffset>2640330</wp:posOffset>
                </wp:positionV>
                <wp:extent cx="22225" cy="914400"/>
                <wp:effectExtent l="38100" t="0" r="41275" b="38100"/>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25" cy="9144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4C2A57" id="AutoShape 37" o:spid="_x0000_s1026" type="#_x0000_t32" style="position:absolute;margin-left:3in;margin-top:207.9pt;width:1.75pt;height:1in;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">
                <v:stroke endarrow="block"/>
                <v:shadow color="#ccc"/>
                <o:lock v:ext="edit" shapetype="f"/>
              </v:shape>
            </w:pict>
          </mc:Fallback>
        </mc:AlternateContent>
      </w:r>
      <w:r>
        <w:rPr>
          <w:noProof/>
        </w:rPr>
        <mc:AlternateContent>
          <mc:Choice Requires="wps">
            <w:drawing>
              <wp:anchor distT="36576" distB="36576" distL="36576" distR="36576" simplePos="0" relativeHeight="251696128" behindDoc="0" locked="0" layoutInCell="1" allowOverlap="1" wp14:anchorId="34B1F7F4" wp14:editId="2A821B4B">
                <wp:simplePos x="0" y="0"/>
                <wp:positionH relativeFrom="column">
                  <wp:posOffset>3429000</wp:posOffset>
                </wp:positionH>
                <wp:positionV relativeFrom="paragraph">
                  <wp:posOffset>4002405</wp:posOffset>
                </wp:positionV>
                <wp:extent cx="800100" cy="9525"/>
                <wp:effectExtent l="0" t="63500" r="0" b="66675"/>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0100"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25972" id="AutoShape 39" o:spid="_x0000_s1026" type="#_x0000_t32" style="position:absolute;margin-left:270pt;margin-top:315.15pt;width:63pt;height:.75pt;flip:y;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">
                <v:stroke endarrow="block"/>
                <v:shadow color="#ccc"/>
                <o:lock v:ext="edit" shapetype="f"/>
              </v:shape>
            </w:pict>
          </mc:Fallback>
        </mc:AlternateContent>
      </w:r>
      <w:r>
        <w:rPr>
          <w:noProof/>
        </w:rPr>
        <mc:AlternateContent>
          <mc:Choice Requires="wps">
            <w:drawing>
              <wp:anchor distT="0" distB="0" distL="114300" distR="114300" simplePos="0" relativeHeight="251692032" behindDoc="0" locked="0" layoutInCell="1" allowOverlap="1" wp14:anchorId="5C5DC2F1" wp14:editId="140C8852">
                <wp:simplePos x="0" y="0"/>
                <wp:positionH relativeFrom="column">
                  <wp:posOffset>4229100</wp:posOffset>
                </wp:positionH>
                <wp:positionV relativeFrom="paragraph">
                  <wp:posOffset>3440430</wp:posOffset>
                </wp:positionV>
                <wp:extent cx="1819275" cy="895350"/>
                <wp:effectExtent l="0" t="0" r="9525" b="19050"/>
                <wp:wrapNone/>
                <wp:docPr id="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275" cy="895350"/>
                        </a:xfrm>
                        <a:prstGeom prst="rect">
                          <a:avLst/>
                        </a:prstGeom>
                        <a:solidFill>
                          <a:srgbClr val="FFFFFF"/>
                        </a:solidFill>
                        <a:ln w="9525">
                          <a:solidFill>
                            <a:srgbClr val="000000"/>
                          </a:solidFill>
                          <a:miter lim="800000"/>
                          <a:headEnd/>
                          <a:tailEnd/>
                        </a:ln>
                      </wps:spPr>
                      <wps:txbx>
                        <w:txbxContent>
                          <w:p w14:paraId="54AF3292" w14:textId="77777777" w:rsidR="000C2BC6" w:rsidRDefault="000C2BC6" w:rsidP="00A12A79">
                            <w:pPr>
                              <w:jc w:val="center"/>
                              <w:rPr>
                                <w:rFonts w:ascii="Calibri" w:hAnsi="Calibri"/>
                                <w:sz w:val="22"/>
                                <w:szCs w:val="22"/>
                              </w:rPr>
                            </w:pPr>
                            <w:r>
                              <w:rPr>
                                <w:rFonts w:ascii="Calibri" w:hAnsi="Calibri"/>
                                <w:sz w:val="22"/>
                                <w:szCs w:val="22"/>
                              </w:rPr>
                              <w:t>Full-text articles excluded (single case report, no data on morbidity, failure to meet MH definition (n=42)</w:t>
                            </w:r>
                          </w:p>
                          <w:p w14:paraId="6033DB83" w14:textId="77777777" w:rsidR="000C2BC6" w:rsidRDefault="000C2BC6" w:rsidP="00A12A79">
                            <w:pPr>
                              <w:jc w:val="center"/>
                              <w:rPr>
                                <w:rFonts w:ascii="Calibri" w:hAnsi="Calibri"/>
                                <w:sz w:val="22"/>
                                <w:szCs w:val="22"/>
                                <w:lang w:val="en"/>
                              </w:rPr>
                            </w:pPr>
                            <w:r>
                              <w:rPr>
                                <w:rFonts w:ascii="Calibri" w:hAnsi="Calibri"/>
                                <w:sz w:val="22"/>
                                <w:szCs w:val="22"/>
                              </w:rPr>
                              <w:t>(</w:t>
                            </w:r>
                            <w:r>
                              <w:rPr>
                                <w:rFonts w:ascii="Calibri" w:hAnsi="Calibri"/>
                                <w:sz w:val="22"/>
                                <w:szCs w:val="22"/>
                              </w:rPr>
                              <w:br/>
                              <w:t>(</w:t>
                            </w:r>
                            <w:proofErr w:type="gramStart"/>
                            <w:r>
                              <w:rPr>
                                <w:rFonts w:ascii="Calibri" w:hAnsi="Calibri"/>
                                <w:sz w:val="22"/>
                                <w:szCs w:val="22"/>
                              </w:rPr>
                              <w:t>n</w:t>
                            </w:r>
                            <w:proofErr w:type="gramEnd"/>
                            <w:r>
                              <w:rPr>
                                <w:rFonts w:ascii="Calibri" w:hAnsi="Calibri"/>
                                <w:sz w:val="22"/>
                                <w:szCs w:val="22"/>
                              </w:rPr>
                              <w:t xml:space="preserve"> = 28)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7F85AF" id="Rectangle 35" o:spid="_x0000_s1083" style="position:absolute;margin-left:333pt;margin-top:270.9pt;width:143.2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">
                <v:path arrowok="t"/>
                <v:textbox inset=",7.2pt,,7.2pt">
                  <w:txbxContent>
                    <w:p w14:paraId="39BA0A49" w14:textId="77777777" w:rsidR="00726212" w:rsidRDefault="00726212" w:rsidP="00A12A79">
                      <w:pPr>
                        <w:jc w:val="center"/>
                        <w:rPr>
                          <w:rFonts w:ascii="Calibri" w:hAnsi="Calibri"/>
                          <w:sz w:val="22"/>
                          <w:szCs w:val="22"/>
                        </w:rPr>
                      </w:pPr>
                      <w:r>
                        <w:rPr>
                          <w:rFonts w:ascii="Calibri" w:hAnsi="Calibri"/>
                          <w:sz w:val="22"/>
                          <w:szCs w:val="22"/>
                        </w:rPr>
                        <w:t>Full-text articles excluded (single case report, no data on morbidity, failure to meet MH definition (n=42)</w:t>
                      </w:r>
                    </w:p>
                    <w:p w14:paraId="31295C8D" w14:textId="77777777" w:rsidR="00726212" w:rsidRDefault="00726212" w:rsidP="00A12A79">
                      <w:pPr>
                        <w:jc w:val="center"/>
                        <w:rPr>
                          <w:rFonts w:ascii="Calibri" w:hAnsi="Calibri"/>
                          <w:sz w:val="22"/>
                          <w:szCs w:val="22"/>
                          <w:lang w:val="en"/>
                        </w:rPr>
                      </w:pPr>
                      <w:r>
                        <w:rPr>
                          <w:rFonts w:ascii="Calibri" w:hAnsi="Calibri"/>
                          <w:sz w:val="22"/>
                          <w:szCs w:val="22"/>
                        </w:rPr>
                        <w:t>(</w:t>
                      </w:r>
                      <w:r>
                        <w:rPr>
                          <w:rFonts w:ascii="Calibri" w:hAnsi="Calibri"/>
                          <w:sz w:val="22"/>
                          <w:szCs w:val="22"/>
                        </w:rPr>
                        <w:br/>
                        <w:t>(n = 28)</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3FD6736D" wp14:editId="2116FAEF">
                <wp:simplePos x="0" y="0"/>
                <wp:positionH relativeFrom="column">
                  <wp:posOffset>1714500</wp:posOffset>
                </wp:positionH>
                <wp:positionV relativeFrom="paragraph">
                  <wp:posOffset>3554730</wp:posOffset>
                </wp:positionV>
                <wp:extent cx="1714500" cy="795020"/>
                <wp:effectExtent l="0" t="0" r="12700" b="1778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795020"/>
                        </a:xfrm>
                        <a:prstGeom prst="rect">
                          <a:avLst/>
                        </a:prstGeom>
                        <a:solidFill>
                          <a:srgbClr val="FFFFFF"/>
                        </a:solidFill>
                        <a:ln w="9525">
                          <a:solidFill>
                            <a:srgbClr val="000000"/>
                          </a:solidFill>
                          <a:miter lim="800000"/>
                          <a:headEnd/>
                          <a:tailEnd/>
                        </a:ln>
                      </wps:spPr>
                      <wps:txbx>
                        <w:txbxContent>
                          <w:p w14:paraId="7F0AAA33" w14:textId="77777777" w:rsidR="000C2BC6" w:rsidRDefault="000C2BC6" w:rsidP="00A12A79">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=47)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3851D5" id="Rectangle 34" o:spid="_x0000_s1084" style="position:absolute;margin-left:135pt;margin-top:279.9pt;width:135pt;height:6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">
                <v:path arrowok="t"/>
                <v:textbox inset=",7.2pt,,7.2pt">
                  <w:txbxContent>
                    <w:p w14:paraId="44F5462E" w14:textId="77777777" w:rsidR="00726212" w:rsidRDefault="00726212" w:rsidP="00A12A79">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=47)</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09A5709A" wp14:editId="2ADD8C41">
                <wp:simplePos x="0" y="0"/>
                <wp:positionH relativeFrom="column">
                  <wp:posOffset>1828800</wp:posOffset>
                </wp:positionH>
                <wp:positionV relativeFrom="paragraph">
                  <wp:posOffset>4926330</wp:posOffset>
                </wp:positionV>
                <wp:extent cx="1714500" cy="685800"/>
                <wp:effectExtent l="0" t="0" r="12700" b="12700"/>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73DF8856" w14:textId="77777777" w:rsidR="000C2BC6" w:rsidRDefault="000C2BC6" w:rsidP="00A12A79">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(n = 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A82841" id="Rectangle 36" o:spid="_x0000_s1085" style="position:absolute;margin-left:2in;margin-top:387.9pt;width:135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">
                <v:path arrowok="t"/>
                <v:textbox inset=",7.2pt,,7.2pt">
                  <w:txbxContent>
                    <w:p w14:paraId="50AD46F3" w14:textId="77777777" w:rsidR="00726212" w:rsidRDefault="00726212" w:rsidP="00A12A79">
                      <w:pPr>
                        <w:jc w:val="center"/>
                        <w:rPr>
                          <w:rFonts w:ascii="Calibri" w:hAnsi="Calibri"/>
                          <w:sz w:val="22"/>
                          <w:szCs w:val="22"/>
                          <w:lang w:val="en"/>
                        </w:rPr>
                      </w:pPr>
                      <w:r>
                        <w:rPr>
                          <w:rFonts w:ascii="Calibri" w:hAnsi="Calibri"/>
                          <w:sz w:val="22"/>
                          <w:szCs w:val="22"/>
                        </w:rPr>
                        <w:t>Studies included in qualitative synthesis</w:t>
                      </w:r>
                      <w:r>
                        <w:rPr>
                          <w:rFonts w:ascii="Calibri" w:hAnsi="Calibri"/>
                          <w:sz w:val="22"/>
                          <w:szCs w:val="22"/>
                        </w:rPr>
                        <w:br/>
                        <w:t>(n = 5)</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105A57F5" wp14:editId="74ED0A46">
                <wp:simplePos x="0" y="0"/>
                <wp:positionH relativeFrom="column">
                  <wp:posOffset>342900</wp:posOffset>
                </wp:positionH>
                <wp:positionV relativeFrom="paragraph">
                  <wp:posOffset>468630</wp:posOffset>
                </wp:positionV>
                <wp:extent cx="2228850" cy="873125"/>
                <wp:effectExtent l="0" t="0" r="19050" b="15875"/>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873125"/>
                        </a:xfrm>
                        <a:prstGeom prst="rect">
                          <a:avLst/>
                        </a:prstGeom>
                        <a:solidFill>
                          <a:srgbClr val="FFFFFF"/>
                        </a:solidFill>
                        <a:ln w="9525">
                          <a:solidFill>
                            <a:srgbClr val="000000"/>
                          </a:solidFill>
                          <a:miter lim="800000"/>
                          <a:headEnd/>
                          <a:tailEnd/>
                        </a:ln>
                      </wps:spPr>
                      <wps:txbx>
                        <w:txbxContent>
                          <w:p w14:paraId="44E4C8F4" w14:textId="77777777" w:rsidR="000C2BC6" w:rsidRDefault="000C2BC6" w:rsidP="00A12A79">
                            <w:pPr>
                              <w:jc w:val="center"/>
                              <w:rPr>
                                <w:rFonts w:ascii="Calibri" w:hAnsi="Calibri"/>
                                <w:sz w:val="22"/>
                                <w:szCs w:val="22"/>
                                <w:lang w:val="en"/>
                              </w:rPr>
                            </w:pPr>
                            <w:r>
                              <w:rPr>
                                <w:rFonts w:ascii="Calibri" w:hAnsi="Calibri"/>
                                <w:sz w:val="22"/>
                                <w:szCs w:val="22"/>
                              </w:rPr>
                              <w:t>Records identified through PubMed database searching</w:t>
                            </w:r>
                            <w:r>
                              <w:rPr>
                                <w:rFonts w:ascii="Calibri" w:hAnsi="Calibri"/>
                                <w:sz w:val="22"/>
                                <w:szCs w:val="22"/>
                              </w:rPr>
                              <w:br/>
                              <w:t>(n =657)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1D1138" id="Rectangle 25" o:spid="_x0000_s1086" style="position:absolute;margin-left:27pt;margin-top:36.9pt;width:175.5pt;height:6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">
                <v:path arrowok="t"/>
                <v:textbox inset=",7.2pt,,7.2pt">
                  <w:txbxContent>
                    <w:p w14:paraId="4A9AFCA4" w14:textId="77777777" w:rsidR="00726212" w:rsidRDefault="00726212" w:rsidP="00A12A79">
                      <w:pPr>
                        <w:jc w:val="center"/>
                        <w:rPr>
                          <w:rFonts w:ascii="Calibri" w:hAnsi="Calibri"/>
                          <w:sz w:val="22"/>
                          <w:szCs w:val="22"/>
                          <w:lang w:val="en"/>
                        </w:rPr>
                      </w:pPr>
                      <w:r>
                        <w:rPr>
                          <w:rFonts w:ascii="Calibri" w:hAnsi="Calibri"/>
                          <w:sz w:val="22"/>
                          <w:szCs w:val="22"/>
                        </w:rPr>
                        <w:t>Records identified through PubMed database searching</w:t>
                      </w:r>
                      <w:r>
                        <w:rPr>
                          <w:rFonts w:ascii="Calibri" w:hAnsi="Calibri"/>
                          <w:sz w:val="22"/>
                          <w:szCs w:val="22"/>
                        </w:rPr>
                        <w:br/>
                        <w:t>(n =657)</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44B00914" wp14:editId="3059229A">
                <wp:simplePos x="0" y="0"/>
                <wp:positionH relativeFrom="column">
                  <wp:posOffset>2971800</wp:posOffset>
                </wp:positionH>
                <wp:positionV relativeFrom="paragraph">
                  <wp:posOffset>468630</wp:posOffset>
                </wp:positionV>
                <wp:extent cx="2228850" cy="876300"/>
                <wp:effectExtent l="0" t="0" r="19050" b="1270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876300"/>
                        </a:xfrm>
                        <a:prstGeom prst="rect">
                          <a:avLst/>
                        </a:prstGeom>
                        <a:solidFill>
                          <a:srgbClr val="FFFFFF"/>
                        </a:solidFill>
                        <a:ln w="9525">
                          <a:solidFill>
                            <a:srgbClr val="000000"/>
                          </a:solidFill>
                          <a:miter lim="800000"/>
                          <a:headEnd/>
                          <a:tailEnd/>
                        </a:ln>
                      </wps:spPr>
                      <wps:txbx>
                        <w:txbxContent>
                          <w:p w14:paraId="06D6045B" w14:textId="77777777" w:rsidR="000C2BC6" w:rsidRDefault="000C2BC6" w:rsidP="00A12A79">
                            <w:pPr>
                              <w:jc w:val="center"/>
                              <w:rPr>
                                <w:rFonts w:ascii="Calibri" w:hAnsi="Calibri"/>
                                <w:sz w:val="22"/>
                                <w:szCs w:val="22"/>
                                <w:lang w:val="en"/>
                              </w:rPr>
                            </w:pPr>
                            <w:r>
                              <w:rPr>
                                <w:rFonts w:ascii="Calibri" w:hAnsi="Calibri"/>
                                <w:sz w:val="22"/>
                                <w:szCs w:val="22"/>
                              </w:rPr>
                              <w:t xml:space="preserve">Additional records identified through other sources (Cochrane, EMBASE, and </w:t>
                            </w:r>
                            <w:proofErr w:type="spellStart"/>
                            <w:r>
                              <w:rPr>
                                <w:rFonts w:ascii="Calibri" w:hAnsi="Calibri"/>
                                <w:sz w:val="22"/>
                                <w:szCs w:val="22"/>
                              </w:rPr>
                              <w:t>handsearch</w:t>
                            </w:r>
                            <w:proofErr w:type="spellEnd"/>
                            <w:r>
                              <w:rPr>
                                <w:rFonts w:ascii="Calibri" w:hAnsi="Calibri"/>
                                <w:sz w:val="22"/>
                                <w:szCs w:val="22"/>
                              </w:rPr>
                              <w:t xml:space="preserve"> of personal files) (n=154)</w:t>
                            </w:r>
                            <w:r>
                              <w:rPr>
                                <w:rFonts w:ascii="Calibri" w:hAnsi="Calibri"/>
                                <w:sz w:val="22"/>
                                <w:szCs w:val="22"/>
                              </w:rPr>
                              <w:br/>
                              <w:t>(n =10)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2A4F62" id="Rectangle 32" o:spid="_x0000_s1087" style="position:absolute;margin-left:234pt;margin-top:36.9pt;width:175.5pt;height: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">
                <v:path arrowok="t"/>
                <v:textbox inset=",7.2pt,,7.2pt">
                  <w:txbxContent>
                    <w:p w14:paraId="07F022F2" w14:textId="77777777" w:rsidR="00726212" w:rsidRDefault="00726212" w:rsidP="00A12A79">
                      <w:pPr>
                        <w:jc w:val="center"/>
                        <w:rPr>
                          <w:rFonts w:ascii="Calibri" w:hAnsi="Calibri"/>
                          <w:sz w:val="22"/>
                          <w:szCs w:val="22"/>
                          <w:lang w:val="en"/>
                        </w:rPr>
                      </w:pPr>
                      <w:r>
                        <w:rPr>
                          <w:rFonts w:ascii="Calibri" w:hAnsi="Calibri"/>
                          <w:sz w:val="22"/>
                          <w:szCs w:val="22"/>
                        </w:rPr>
                        <w:t>Additional records identified through other sources (Cochrane, EMBASE, and handsearch of personal files) (n=154)</w:t>
                      </w:r>
                      <w:r>
                        <w:rPr>
                          <w:rFonts w:ascii="Calibri" w:hAnsi="Calibri"/>
                          <w:sz w:val="22"/>
                          <w:szCs w:val="22"/>
                        </w:rPr>
                        <w:br/>
                        <w:t>(n =10)</w:t>
                      </w:r>
                    </w:p>
                  </w:txbxContent>
                </v:textbox>
              </v:rect>
            </w:pict>
          </mc:Fallback>
        </mc:AlternateContent>
      </w:r>
      <w:r>
        <w:rPr>
          <w:noProof/>
        </w:rPr>
        <mc:AlternateContent>
          <mc:Choice Requires="wps">
            <w:drawing>
              <wp:anchor distT="36576" distB="36576" distL="36576" distR="36576" simplePos="0" relativeHeight="251685888" behindDoc="0" locked="0" layoutInCell="1" allowOverlap="1" wp14:anchorId="66913BB8" wp14:editId="6CACF083">
                <wp:simplePos x="0" y="0"/>
                <wp:positionH relativeFrom="column">
                  <wp:posOffset>1600200</wp:posOffset>
                </wp:positionH>
                <wp:positionV relativeFrom="paragraph">
                  <wp:posOffset>1402080</wp:posOffset>
                </wp:positionV>
                <wp:extent cx="0" cy="457200"/>
                <wp:effectExtent l="63500" t="0" r="63500" b="3810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FFCB0" id="AutoShape 29" o:spid="_x0000_s1026" type="#_x0000_t32" style="position:absolute;margin-left:126pt;margin-top:110.4pt;width:0;height:36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">
                <v:stroke endarrow="block"/>
                <v:shadow color="#ccc"/>
                <o:lock v:ext="edit" shapetype="f"/>
              </v:shape>
            </w:pict>
          </mc:Fallback>
        </mc:AlternateContent>
      </w:r>
      <w:r>
        <w:rPr>
          <w:noProof/>
        </w:rPr>
        <mc:AlternateContent>
          <mc:Choice Requires="wps">
            <w:drawing>
              <wp:anchor distT="36576" distB="36576" distL="36576" distR="36576" simplePos="0" relativeHeight="251686912" behindDoc="0" locked="0" layoutInCell="1" allowOverlap="1" wp14:anchorId="4193B64B" wp14:editId="5AC539E1">
                <wp:simplePos x="0" y="0"/>
                <wp:positionH relativeFrom="column">
                  <wp:posOffset>3886200</wp:posOffset>
                </wp:positionH>
                <wp:positionV relativeFrom="paragraph">
                  <wp:posOffset>1402080</wp:posOffset>
                </wp:positionV>
                <wp:extent cx="0" cy="457200"/>
                <wp:effectExtent l="63500" t="0" r="63500" b="3810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6C37F" id="AutoShape 30" o:spid="_x0000_s1026" type="#_x0000_t32" style="position:absolute;margin-left:306pt;margin-top:110.4pt;width:0;height:36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">
                <v:stroke endarrow="block"/>
                <v:shadow color="#ccc"/>
                <o:lock v:ext="edit" shapetype="f"/>
              </v:shape>
            </w:pict>
          </mc:Fallback>
        </mc:AlternateContent>
      </w:r>
      <w:r>
        <w:rPr>
          <w:noProof/>
        </w:rPr>
        <mc:AlternateContent>
          <mc:Choice Requires="wps">
            <w:drawing>
              <wp:anchor distT="0" distB="0" distL="114300" distR="114300" simplePos="0" relativeHeight="251683840" behindDoc="0" locked="0" layoutInCell="1" allowOverlap="1" wp14:anchorId="5B4A5663" wp14:editId="4DE0F226">
                <wp:simplePos x="0" y="0"/>
                <wp:positionH relativeFrom="column">
                  <wp:posOffset>-818515</wp:posOffset>
                </wp:positionH>
                <wp:positionV relativeFrom="paragraph">
                  <wp:posOffset>5163820</wp:posOffset>
                </wp:positionV>
                <wp:extent cx="1019175" cy="297180"/>
                <wp:effectExtent l="5398" t="0" r="14922" b="14923"/>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19175" cy="297180"/>
                        </a:xfrm>
                        <a:prstGeom prst="roundRect">
                          <a:avLst>
                            <a:gd name="adj" fmla="val 16667"/>
                          </a:avLst>
                        </a:prstGeom>
                        <a:solidFill>
                          <a:srgbClr val="CCECFF"/>
                        </a:solidFill>
                        <a:ln w="9525">
                          <a:solidFill>
                            <a:srgbClr val="000000"/>
                          </a:solidFill>
                          <a:round/>
                          <a:headEnd/>
                          <a:tailEnd/>
                        </a:ln>
                      </wps:spPr>
                      <wps:txbx>
                        <w:txbxContent>
                          <w:p w14:paraId="3509B73F" w14:textId="77777777" w:rsidR="000C2BC6" w:rsidRDefault="000C2BC6" w:rsidP="00A12A79">
                            <w:pPr>
                              <w:pStyle w:val="Heading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E5B02A" id="AutoShape 27" o:spid="_x0000_s1088" style="position:absolute;margin-left:-64.45pt;margin-top:406.6pt;width:80.25pt;height:23.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" fillcolor="#ccecff">
                <v:path arrowok="t"/>
                <v:textbox style="layout-flow:vertical;mso-layout-flow-alt:bottom-to-top" inset="3.6pt,,3.6pt">
                  <w:txbxContent>
                    <w:p w14:paraId="23C9B447" w14:textId="77777777" w:rsidR="00726212" w:rsidRDefault="00726212" w:rsidP="00A12A79">
                      <w:pPr>
                        <w:pStyle w:val="Heading2"/>
                        <w:keepNext/>
                        <w:rPr>
                          <w:rFonts w:ascii="Calibri" w:hAnsi="Calibri"/>
                          <w:lang w:val="en"/>
                        </w:rPr>
                      </w:pPr>
                      <w:r>
                        <w:rPr>
                          <w:rFonts w:ascii="Calibri" w:hAnsi="Calibri"/>
                          <w:lang w:val="en"/>
                        </w:rPr>
                        <w:t>Included</w:t>
                      </w:r>
                    </w:p>
                  </w:txbxContent>
                </v:textbox>
              </v:roundrect>
            </w:pict>
          </mc:Fallback>
        </mc:AlternateContent>
      </w:r>
      <w:r>
        <w:rPr>
          <w:noProof/>
        </w:rPr>
        <mc:AlternateContent>
          <mc:Choice Requires="wps">
            <w:drawing>
              <wp:anchor distT="0" distB="0" distL="114300" distR="114300" simplePos="0" relativeHeight="251684864" behindDoc="0" locked="0" layoutInCell="1" allowOverlap="1" wp14:anchorId="49B68202" wp14:editId="79A65745">
                <wp:simplePos x="0" y="0"/>
                <wp:positionH relativeFrom="column">
                  <wp:posOffset>-994410</wp:posOffset>
                </wp:positionH>
                <wp:positionV relativeFrom="paragraph">
                  <wp:posOffset>3834765</wp:posOffset>
                </wp:positionV>
                <wp:extent cx="1371600" cy="297180"/>
                <wp:effectExtent l="3810" t="0" r="16510" b="1651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1B74DCAF" w14:textId="77777777" w:rsidR="000C2BC6" w:rsidRDefault="000C2BC6" w:rsidP="00A12A79">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A40511" id="AutoShape 28" o:spid="_x0000_s1089" style="position:absolute;margin-left:-78.3pt;margin-top:301.95pt;width:108pt;height:23.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" fillcolor="#ccecff">
                <v:path arrowok="t"/>
                <v:textbox style="layout-flow:vertical;mso-layout-flow-alt:bottom-to-top" inset="3.6pt,,3.6pt">
                  <w:txbxContent>
                    <w:p w14:paraId="3B0E3D19" w14:textId="77777777" w:rsidR="00726212" w:rsidRDefault="00726212" w:rsidP="00A12A79">
                      <w:pPr>
                        <w:pStyle w:val="Heading2"/>
                        <w:keepNext/>
                        <w:rPr>
                          <w:rFonts w:ascii="Calibri" w:hAnsi="Calibri"/>
                          <w:sz w:val="22"/>
                          <w:szCs w:val="22"/>
                          <w:lang w:val="en"/>
                        </w:rPr>
                      </w:pPr>
                      <w:r>
                        <w:rPr>
                          <w:rFonts w:ascii="Calibri" w:hAnsi="Calibri"/>
                          <w:sz w:val="22"/>
                          <w:szCs w:val="22"/>
                          <w:lang w:val="en"/>
                        </w:rPr>
                        <w:t>Eligibility</w:t>
                      </w:r>
                    </w:p>
                  </w:txbxContent>
                </v:textbox>
              </v:roundrect>
            </w:pict>
          </mc:Fallback>
        </mc:AlternateContent>
      </w:r>
      <w:r>
        <w:rPr>
          <w:noProof/>
        </w:rPr>
        <mc:AlternateContent>
          <mc:Choice Requires="wps">
            <w:drawing>
              <wp:anchor distT="0" distB="0" distL="114300" distR="114300" simplePos="0" relativeHeight="251682816" behindDoc="0" locked="0" layoutInCell="1" allowOverlap="1" wp14:anchorId="7D6EFC61" wp14:editId="25D5216E">
                <wp:simplePos x="0" y="0"/>
                <wp:positionH relativeFrom="column">
                  <wp:posOffset>-1056640</wp:posOffset>
                </wp:positionH>
                <wp:positionV relativeFrom="paragraph">
                  <wp:posOffset>2306320</wp:posOffset>
                </wp:positionV>
                <wp:extent cx="1495425" cy="297180"/>
                <wp:effectExtent l="2223" t="0" r="18097" b="18098"/>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95425" cy="297180"/>
                        </a:xfrm>
                        <a:prstGeom prst="roundRect">
                          <a:avLst>
                            <a:gd name="adj" fmla="val 16667"/>
                          </a:avLst>
                        </a:prstGeom>
                        <a:solidFill>
                          <a:srgbClr val="CCECFF"/>
                        </a:solidFill>
                        <a:ln w="9525">
                          <a:solidFill>
                            <a:srgbClr val="000000"/>
                          </a:solidFill>
                          <a:round/>
                          <a:headEnd/>
                          <a:tailEnd/>
                        </a:ln>
                      </wps:spPr>
                      <wps:txbx>
                        <w:txbxContent>
                          <w:p w14:paraId="3AACE0F4" w14:textId="77777777" w:rsidR="000C2BC6" w:rsidRDefault="000C2BC6" w:rsidP="00A12A79">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4631BD1" id="AutoShape 26" o:spid="_x0000_s1090" style="position:absolute;margin-left:-83.2pt;margin-top:181.6pt;width:117.75pt;height:23.4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" fillcolor="#ccecff">
                <v:path arrowok="t"/>
                <v:textbox style="layout-flow:vertical;mso-layout-flow-alt:bottom-to-top" inset="3.6pt,,3.6pt">
                  <w:txbxContent>
                    <w:p w14:paraId="4A2F55B8" w14:textId="77777777" w:rsidR="00726212" w:rsidRDefault="00726212" w:rsidP="00A12A79">
                      <w:pPr>
                        <w:pStyle w:val="Heading2"/>
                        <w:keepNext/>
                        <w:rPr>
                          <w:rFonts w:ascii="Calibri" w:hAnsi="Calibri"/>
                          <w:lang w:val="en"/>
                        </w:rPr>
                      </w:pPr>
                      <w:r>
                        <w:rPr>
                          <w:rFonts w:ascii="Calibri" w:hAnsi="Calibri"/>
                          <w:lang w:val="en"/>
                        </w:rPr>
                        <w:t>Screening</w:t>
                      </w: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7C704D1A" wp14:editId="7B4ADDF8">
                <wp:simplePos x="0" y="0"/>
                <wp:positionH relativeFrom="column">
                  <wp:posOffset>-994410</wp:posOffset>
                </wp:positionH>
                <wp:positionV relativeFrom="paragraph">
                  <wp:posOffset>739140</wp:posOffset>
                </wp:positionV>
                <wp:extent cx="1371600" cy="297180"/>
                <wp:effectExtent l="3810" t="0" r="16510" b="1651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31EB70D" w14:textId="77777777" w:rsidR="000C2BC6" w:rsidRDefault="000C2BC6" w:rsidP="00A12A79">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2EF512" id="AutoShape 31" o:spid="_x0000_s1091" style="position:absolute;margin-left:-78.3pt;margin-top:58.2pt;width:108pt;height:23.4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" fillcolor="#ccecff">
                <v:path arrowok="t"/>
                <v:textbox style="layout-flow:vertical;mso-layout-flow-alt:bottom-to-top" inset="3.6pt,,3.6pt">
                  <w:txbxContent>
                    <w:p w14:paraId="1330D69D" w14:textId="77777777" w:rsidR="00726212" w:rsidRDefault="00726212" w:rsidP="00A12A79">
                      <w:pPr>
                        <w:pStyle w:val="Heading2"/>
                        <w:keepNext/>
                        <w:rPr>
                          <w:rFonts w:ascii="Calibri" w:hAnsi="Calibri"/>
                          <w:lang w:val="en"/>
                        </w:rPr>
                      </w:pPr>
                      <w:r>
                        <w:rPr>
                          <w:rFonts w:ascii="Calibri" w:hAnsi="Calibri"/>
                          <w:lang w:val="en"/>
                        </w:rPr>
                        <w:t>Identification</w:t>
                      </w:r>
                    </w:p>
                  </w:txbxContent>
                </v:textbox>
              </v:roundrect>
            </w:pict>
          </mc:Fallback>
        </mc:AlternateContent>
      </w:r>
    </w:p>
    <w:p w14:paraId="573427AB" w14:textId="77777777" w:rsidR="00170A27" w:rsidRDefault="00170A27" w:rsidP="00170A27"/>
    <w:p w14:paraId="06E2A018" w14:textId="77777777" w:rsidR="00170A27" w:rsidRPr="00C31FCF" w:rsidRDefault="00170A27" w:rsidP="00A12A79">
      <w:pPr>
        <w:rPr>
          <w:i/>
        </w:rPr>
      </w:pPr>
      <w:r>
        <w:rPr>
          <w:i/>
        </w:rPr>
        <w:br w:type="page"/>
      </w:r>
    </w:p>
    <w:p w14:paraId="3F246B72" w14:textId="05BF2BDC" w:rsidR="00170A27" w:rsidRPr="003A2215" w:rsidRDefault="00C31FCF">
      <w:r w:rsidRPr="003A2215">
        <w:lastRenderedPageBreak/>
        <w:t>9</w:t>
      </w:r>
      <w:r w:rsidR="0060545D">
        <w:t>.  What m</w:t>
      </w:r>
      <w:r w:rsidR="00170A27" w:rsidRPr="003A2215">
        <w:t xml:space="preserve">orbidities are associated with an acute MH event in the </w:t>
      </w:r>
      <w:r w:rsidR="0060545D">
        <w:t>US and Canada</w:t>
      </w:r>
      <w:r w:rsidR="00170A27" w:rsidRPr="003A2215">
        <w:t xml:space="preserve">?  </w:t>
      </w:r>
    </w:p>
    <w:p w14:paraId="50CFABE5" w14:textId="77777777" w:rsidR="0060545D" w:rsidRDefault="0060545D" w:rsidP="00927EB4"/>
    <w:p w14:paraId="31DC473A" w14:textId="2AE11B62" w:rsidR="00927EB4" w:rsidRPr="00927EB4" w:rsidRDefault="00927EB4" w:rsidP="00927EB4">
      <w:r w:rsidRPr="00927EB4">
        <w:t>MH associated morbidities include:  cardiac dysfunction including cardiac arrest, renal dysfunction, consciousness level change/coma, pulmonary edema, disseminated intravascular coagulation</w:t>
      </w:r>
      <w:r w:rsidR="0063458C">
        <w:t xml:space="preserve"> (</w:t>
      </w:r>
      <w:r w:rsidR="0063458C" w:rsidRPr="0063458C">
        <w:rPr>
          <w:b/>
        </w:rPr>
        <w:t>DIC</w:t>
      </w:r>
      <w:r w:rsidR="0063458C">
        <w:t>)</w:t>
      </w:r>
      <w:r w:rsidRPr="00927EB4">
        <w:t xml:space="preserve">, and hepatic dysfunction.  Other reported complications include development of compartment syndrome and pleural effusions.  </w:t>
      </w:r>
      <w:r w:rsidR="0063458C">
        <w:t>Some may consider</w:t>
      </w:r>
      <w:r w:rsidRPr="00927EB4">
        <w:t xml:space="preserve"> recrude</w:t>
      </w:r>
      <w:r w:rsidR="0063458C">
        <w:t>scence as</w:t>
      </w:r>
      <w:r w:rsidR="00010D67">
        <w:t xml:space="preserve"> </w:t>
      </w:r>
      <w:proofErr w:type="gramStart"/>
      <w:r w:rsidR="00010D67">
        <w:t xml:space="preserve">a </w:t>
      </w:r>
      <w:r w:rsidRPr="00927EB4">
        <w:t>morbidity</w:t>
      </w:r>
      <w:proofErr w:type="gramEnd"/>
      <w:r w:rsidR="0063458C">
        <w:t xml:space="preserve"> as well</w:t>
      </w:r>
      <w:r w:rsidRPr="00927EB4">
        <w:t>.</w:t>
      </w:r>
    </w:p>
    <w:p w14:paraId="6AA5469F" w14:textId="77777777" w:rsidR="00170A27" w:rsidRDefault="00170A27"/>
    <w:p w14:paraId="619337B2" w14:textId="542D74B1" w:rsidR="00170A27" w:rsidRDefault="00C31FCF">
      <w:r>
        <w:t>10</w:t>
      </w:r>
      <w:r w:rsidR="00170A27">
        <w:t>.  What is the MH morb</w:t>
      </w:r>
      <w:r w:rsidR="0060545D">
        <w:t>idity rate in the US and Canada</w:t>
      </w:r>
      <w:r w:rsidR="00927EB4">
        <w:t xml:space="preserve">? </w:t>
      </w:r>
    </w:p>
    <w:p w14:paraId="79767767" w14:textId="77777777" w:rsidR="0060545D" w:rsidRDefault="0060545D" w:rsidP="00927EB4"/>
    <w:p w14:paraId="30C107CA" w14:textId="4B29E378" w:rsidR="00927EB4" w:rsidRPr="00927EB4" w:rsidRDefault="00927EB4" w:rsidP="00927EB4">
      <w:r w:rsidRPr="00927EB4">
        <w:t>Complications not including recrudescence, cardiac arrest, or death ranged from 20% to 37% and are consistent over a significant time period that goes through 2012</w:t>
      </w:r>
      <w:r>
        <w:t xml:space="preserve"> and across 2 non-overlapping databases</w:t>
      </w:r>
      <w:r w:rsidRPr="00927EB4">
        <w:t xml:space="preserve">.  </w:t>
      </w:r>
      <w:proofErr w:type="gramStart"/>
      <w:r w:rsidRPr="00927EB4">
        <w:t>Overall, the more severe the MH event (as determined by the MH clinical grading scale), the higher the morbidity rate.</w:t>
      </w:r>
      <w:proofErr w:type="gramEnd"/>
      <w:r w:rsidRPr="00927EB4">
        <w:t xml:space="preserve">  A </w:t>
      </w:r>
      <w:r w:rsidR="0060545D">
        <w:t>North American Malignant Hyperthermia Registry of the Malignant Hyperthermia Association of the US (</w:t>
      </w:r>
      <w:r w:rsidR="0060545D" w:rsidRPr="0063458C">
        <w:rPr>
          <w:b/>
        </w:rPr>
        <w:t>NAMHR</w:t>
      </w:r>
      <w:r w:rsidR="0060545D">
        <w:t>)</w:t>
      </w:r>
      <w:r w:rsidRPr="00927EB4">
        <w:t xml:space="preserve"> study of MH recrudescence found a 20% recrudescence rate.</w:t>
      </w:r>
    </w:p>
    <w:p w14:paraId="785491A4" w14:textId="77777777" w:rsidR="00927EB4" w:rsidRDefault="00927EB4"/>
    <w:p w14:paraId="5F6448CC" w14:textId="77777777" w:rsidR="00170A27" w:rsidRDefault="00170A27"/>
    <w:p w14:paraId="25499CA4" w14:textId="6F4C1E33" w:rsidR="00170A27" w:rsidRDefault="00170A27">
      <w:r>
        <w:t xml:space="preserve">11. What is the impact of </w:t>
      </w:r>
      <w:proofErr w:type="spellStart"/>
      <w:r>
        <w:t>dantrolene</w:t>
      </w:r>
      <w:proofErr w:type="spellEnd"/>
      <w:r>
        <w:t xml:space="preserve"> administration on MH morbidity?  Does the time </w:t>
      </w:r>
      <w:r w:rsidR="0060545D">
        <w:t xml:space="preserve">or initial </w:t>
      </w:r>
      <w:proofErr w:type="spellStart"/>
      <w:r w:rsidR="0060545D">
        <w:t>dantrolene</w:t>
      </w:r>
      <w:proofErr w:type="spellEnd"/>
      <w:r w:rsidR="0060545D">
        <w:t xml:space="preserve"> dose </w:t>
      </w:r>
      <w:r>
        <w:t xml:space="preserve">affect the likelihood of MH morbidity?  </w:t>
      </w:r>
    </w:p>
    <w:p w14:paraId="562F8E64" w14:textId="77777777" w:rsidR="0060545D" w:rsidRDefault="0060545D" w:rsidP="00C31FCF"/>
    <w:p w14:paraId="60104EDE" w14:textId="77777777" w:rsidR="00C31FCF" w:rsidRPr="00606661" w:rsidRDefault="00C31FCF" w:rsidP="00C31FCF">
      <w:r>
        <w:t xml:space="preserve">For the largest retrospective study of MH morbidity (excluding recrudescence, cardiac arrest), there was inadequate power to detect differences between the group receiving </w:t>
      </w:r>
      <w:proofErr w:type="spellStart"/>
      <w:r>
        <w:t>dantrolene</w:t>
      </w:r>
      <w:proofErr w:type="spellEnd"/>
      <w:r>
        <w:t xml:space="preserve"> and the one not receiving </w:t>
      </w:r>
      <w:proofErr w:type="spellStart"/>
      <w:r>
        <w:t>dantrolene</w:t>
      </w:r>
      <w:proofErr w:type="spellEnd"/>
      <w:r>
        <w:t>.</w:t>
      </w:r>
    </w:p>
    <w:p w14:paraId="6CAE73E3" w14:textId="77777777" w:rsidR="00C31FCF" w:rsidRDefault="00C31FCF" w:rsidP="00C31FCF">
      <w:pPr>
        <w:rPr>
          <w:i/>
        </w:rPr>
      </w:pPr>
    </w:p>
    <w:p w14:paraId="7BA0B21D" w14:textId="43F693AB" w:rsidR="00C31FCF" w:rsidRDefault="00C31FCF" w:rsidP="00C31FCF">
      <w:r>
        <w:t xml:space="preserve">Time of </w:t>
      </w:r>
      <w:proofErr w:type="spellStart"/>
      <w:r>
        <w:t>dantrolene</w:t>
      </w:r>
      <w:proofErr w:type="spellEnd"/>
      <w:r>
        <w:t xml:space="preserve"> administration: </w:t>
      </w:r>
      <w:r w:rsidR="0063458C">
        <w:t xml:space="preserve">NAMHR </w:t>
      </w:r>
      <w:r>
        <w:t>studies showed that the likelihood of a MH complication increased 1.61 (1.16-2.25) times for every 30-minute increase in time between the first MH sign and the 1</w:t>
      </w:r>
      <w:r w:rsidRPr="0043452E">
        <w:rPr>
          <w:vertAlign w:val="superscript"/>
        </w:rPr>
        <w:t>st</w:t>
      </w:r>
      <w:r>
        <w:t xml:space="preserve"> </w:t>
      </w:r>
      <w:proofErr w:type="spellStart"/>
      <w:r>
        <w:t>dantrolene</w:t>
      </w:r>
      <w:proofErr w:type="spellEnd"/>
      <w:r>
        <w:t xml:space="preserve"> dose.  The Canadian study also showed that the MH complication rate increased with increasing minutes to </w:t>
      </w:r>
      <w:proofErr w:type="spellStart"/>
      <w:r>
        <w:t>dantrolene</w:t>
      </w:r>
      <w:proofErr w:type="spellEnd"/>
      <w:r>
        <w:t xml:space="preserve"> use from the first MH sign.  For each 10-minute delay in administration of </w:t>
      </w:r>
      <w:proofErr w:type="spellStart"/>
      <w:r>
        <w:t>dantrolene</w:t>
      </w:r>
      <w:proofErr w:type="spellEnd"/>
      <w:r>
        <w:t xml:space="preserve">, complications increased substantially.  When </w:t>
      </w:r>
      <w:proofErr w:type="spellStart"/>
      <w:r>
        <w:t>dantrolene</w:t>
      </w:r>
      <w:proofErr w:type="spellEnd"/>
      <w:r>
        <w:t xml:space="preserve"> was delayed beyond 50 minutes, complication rates increased to 100%.</w:t>
      </w:r>
    </w:p>
    <w:p w14:paraId="5EDDFD0B" w14:textId="77777777" w:rsidR="00C31FCF" w:rsidRDefault="00C31FCF" w:rsidP="00C31FCF"/>
    <w:p w14:paraId="0541683D" w14:textId="4389C04C" w:rsidR="00C31FCF" w:rsidRPr="00277DD7" w:rsidRDefault="00C31FCF" w:rsidP="00C31FCF">
      <w:r>
        <w:t xml:space="preserve">Initial </w:t>
      </w:r>
      <w:proofErr w:type="spellStart"/>
      <w:r>
        <w:t>dantrolene</w:t>
      </w:r>
      <w:proofErr w:type="spellEnd"/>
      <w:r>
        <w:t xml:space="preserve"> dose amount:  For the </w:t>
      </w:r>
      <w:r w:rsidR="0063458C">
        <w:t xml:space="preserve">NAMHR </w:t>
      </w:r>
      <w:r>
        <w:t>data, the a</w:t>
      </w:r>
      <w:r w:rsidRPr="00223A05">
        <w:t xml:space="preserve">mount of initial </w:t>
      </w:r>
      <w:proofErr w:type="spellStart"/>
      <w:r w:rsidRPr="00223A05">
        <w:t>dantrolene</w:t>
      </w:r>
      <w:proofErr w:type="spellEnd"/>
      <w:r w:rsidRPr="00223A05">
        <w:t xml:space="preserve"> dose was examined and was not found to be significant for </w:t>
      </w:r>
      <w:r w:rsidR="00001AC0">
        <w:t xml:space="preserve">a </w:t>
      </w:r>
      <w:r w:rsidRPr="00223A05">
        <w:t xml:space="preserve">model analyzing </w:t>
      </w:r>
      <w:r w:rsidR="00001AC0">
        <w:t xml:space="preserve">the </w:t>
      </w:r>
      <w:r w:rsidRPr="00223A05">
        <w:t xml:space="preserve">likelihood of complications (odds ratio 1.13 (95% CI 0.96,1.33) P=1.000.   For </w:t>
      </w:r>
      <w:r w:rsidR="00001AC0">
        <w:t xml:space="preserve">the </w:t>
      </w:r>
      <w:r w:rsidRPr="00223A05">
        <w:t xml:space="preserve">group not experiencing complications the median initial </w:t>
      </w:r>
      <w:proofErr w:type="spellStart"/>
      <w:r w:rsidRPr="00223A05">
        <w:t>dantrolene</w:t>
      </w:r>
      <w:proofErr w:type="spellEnd"/>
      <w:r w:rsidRPr="00223A05">
        <w:t xml:space="preserve"> dose was 2.31 (1.47, 2.67) mg/kg and for the group experiencing complications, the median initial dose of </w:t>
      </w:r>
      <w:proofErr w:type="spellStart"/>
      <w:r w:rsidRPr="00223A05">
        <w:t>dantrolene</w:t>
      </w:r>
      <w:proofErr w:type="spellEnd"/>
      <w:r w:rsidRPr="00223A05">
        <w:t xml:space="preserve"> was 2.48 (2.00, 2.89) mg/kg</w:t>
      </w:r>
      <w:r w:rsidR="00277DD7">
        <w:t>.</w:t>
      </w:r>
      <w:r>
        <w:rPr>
          <w:b/>
        </w:rPr>
        <w:t xml:space="preserve"> </w:t>
      </w:r>
      <w:r w:rsidR="00277DD7">
        <w:rPr>
          <w:b/>
        </w:rPr>
        <w:t xml:space="preserve">  </w:t>
      </w:r>
    </w:p>
    <w:p w14:paraId="3948AC73" w14:textId="77777777" w:rsidR="00C31FCF" w:rsidRDefault="00C31FCF" w:rsidP="00C31FCF"/>
    <w:p w14:paraId="340C8BC6" w14:textId="13E0EC87" w:rsidR="00C31FCF" w:rsidRPr="008E0547" w:rsidRDefault="001235B9" w:rsidP="00C31FCF">
      <w:r>
        <w:lastRenderedPageBreak/>
        <w:t>For querie</w:t>
      </w:r>
      <w:bookmarkStart w:id="0" w:name="_GoBack"/>
      <w:bookmarkEnd w:id="0"/>
      <w:r w:rsidR="00C31FCF">
        <w:t xml:space="preserve">s #9, 10, </w:t>
      </w:r>
      <w:proofErr w:type="gramStart"/>
      <w:r w:rsidR="00C31FCF">
        <w:t>11</w:t>
      </w:r>
      <w:proofErr w:type="gramEnd"/>
      <w:r w:rsidR="00C31FCF">
        <w:t xml:space="preserve">:  </w:t>
      </w:r>
      <w:r w:rsidR="00C31FCF" w:rsidRPr="008E0547">
        <w:t>A tota</w:t>
      </w:r>
      <w:r w:rsidR="00C31FCF">
        <w:t>l of</w:t>
      </w:r>
      <w:r w:rsidR="0048428D">
        <w:t xml:space="preserve"> 5 references (all OCEBM level 3 or 4</w:t>
      </w:r>
      <w:r w:rsidR="00C31FCF">
        <w:t>, retrospective studies)</w:t>
      </w:r>
      <w:r w:rsidR="0060545D">
        <w:t xml:space="preserve"> were available for analysis.  Four</w:t>
      </w:r>
      <w:r w:rsidR="00C31FCF">
        <w:t xml:space="preserve"> of these references use the NAMH</w:t>
      </w:r>
      <w:r w:rsidR="0060545D">
        <w:t>R</w:t>
      </w:r>
      <w:r w:rsidR="00C31FCF">
        <w:t xml:space="preserve"> database of predominantly </w:t>
      </w:r>
      <w:r w:rsidR="0060545D">
        <w:t>US patients.  One</w:t>
      </w:r>
      <w:r w:rsidR="00C31FCF">
        <w:t xml:space="preserve"> of these references derives from a Canadian database in which subjects MH events were both graded by the MH clinical grading scale and confirmed with a CHCT. There</w:t>
      </w:r>
      <w:r w:rsidR="0060545D">
        <w:t xml:space="preserve"> is no overlap between the NAMHR </w:t>
      </w:r>
      <w:r w:rsidR="00C31FCF">
        <w:t xml:space="preserve">database and the Canadian database.  For the Canadian database, </w:t>
      </w:r>
      <w:proofErr w:type="spellStart"/>
      <w:r w:rsidR="00C31FCF">
        <w:t>dantrolene</w:t>
      </w:r>
      <w:proofErr w:type="spellEnd"/>
      <w:r w:rsidR="00C31FCF">
        <w:t xml:space="preserve"> dose data for many subjects were not available even after examination of original anesthetic records.  Limitations of all studies also include reporting, recall, and selection bias.  Finally, associations may not imply causality.</w:t>
      </w:r>
    </w:p>
    <w:p w14:paraId="605AF628" w14:textId="77777777" w:rsidR="00927EB4" w:rsidRDefault="00927EB4"/>
    <w:p w14:paraId="1CA24476" w14:textId="77777777" w:rsidR="00927EB4" w:rsidRDefault="00927EB4"/>
    <w:p w14:paraId="182913E0" w14:textId="77777777" w:rsidR="00170A27" w:rsidRDefault="00170A27"/>
    <w:p w14:paraId="7AEC23E8" w14:textId="77777777" w:rsidR="00170A27" w:rsidRDefault="00170A27"/>
    <w:p w14:paraId="502A6993" w14:textId="77777777" w:rsidR="00170A27" w:rsidRDefault="00170A27"/>
    <w:tbl>
      <w:tblPr>
        <w:tblStyle w:val="TableGrid"/>
        <w:tblpPr w:leftFromText="180" w:rightFromText="180" w:vertAnchor="text" w:tblpY="1"/>
        <w:tblOverlap w:val="never"/>
        <w:tblW w:w="12866" w:type="dxa"/>
        <w:tblLook w:val="04A0" w:firstRow="1" w:lastRow="0" w:firstColumn="1" w:lastColumn="0" w:noHBand="0" w:noVBand="1"/>
      </w:tblPr>
      <w:tblGrid>
        <w:gridCol w:w="2057"/>
        <w:gridCol w:w="2095"/>
        <w:gridCol w:w="2155"/>
        <w:gridCol w:w="1721"/>
        <w:gridCol w:w="1317"/>
        <w:gridCol w:w="1707"/>
        <w:gridCol w:w="1814"/>
      </w:tblGrid>
      <w:tr w:rsidR="00063C99" w14:paraId="194E5A9A" w14:textId="77777777" w:rsidTr="000C2BC6">
        <w:tc>
          <w:tcPr>
            <w:tcW w:w="0" w:type="auto"/>
          </w:tcPr>
          <w:p w14:paraId="062114A2" w14:textId="77777777" w:rsidR="00170A27" w:rsidRDefault="00170A27" w:rsidP="000C2BC6">
            <w:r>
              <w:t>Article Identifier</w:t>
            </w:r>
          </w:p>
        </w:tc>
        <w:tc>
          <w:tcPr>
            <w:tcW w:w="0" w:type="auto"/>
          </w:tcPr>
          <w:p w14:paraId="3E21315D" w14:textId="77777777" w:rsidR="00170A27" w:rsidRDefault="00170A27" w:rsidP="000C2BC6">
            <w:r>
              <w:t xml:space="preserve">Morbidity Type Percentage </w:t>
            </w:r>
          </w:p>
        </w:tc>
        <w:tc>
          <w:tcPr>
            <w:tcW w:w="0" w:type="auto"/>
          </w:tcPr>
          <w:p w14:paraId="1A6FA490" w14:textId="77777777" w:rsidR="00170A27" w:rsidRDefault="00170A27" w:rsidP="000C2BC6">
            <w:proofErr w:type="spellStart"/>
            <w:r>
              <w:t>Dantrolene</w:t>
            </w:r>
            <w:proofErr w:type="spellEnd"/>
          </w:p>
        </w:tc>
        <w:tc>
          <w:tcPr>
            <w:tcW w:w="0" w:type="auto"/>
          </w:tcPr>
          <w:p w14:paraId="4808F1BE" w14:textId="77777777" w:rsidR="00170A27" w:rsidRDefault="00170A27" w:rsidP="000C2BC6">
            <w:r>
              <w:t>Classification of MH Event</w:t>
            </w:r>
          </w:p>
        </w:tc>
        <w:tc>
          <w:tcPr>
            <w:tcW w:w="0" w:type="auto"/>
          </w:tcPr>
          <w:p w14:paraId="1A2EE02A" w14:textId="77777777" w:rsidR="00170A27" w:rsidRDefault="00170A27" w:rsidP="000C2BC6">
            <w:r>
              <w:t>Level</w:t>
            </w:r>
          </w:p>
          <w:p w14:paraId="135A7271" w14:textId="77777777" w:rsidR="00170A27" w:rsidRDefault="00170A27" w:rsidP="000C2BC6">
            <w:proofErr w:type="gramStart"/>
            <w:r>
              <w:t>of</w:t>
            </w:r>
            <w:proofErr w:type="gramEnd"/>
            <w:r>
              <w:t xml:space="preserve"> Evidence</w:t>
            </w:r>
          </w:p>
        </w:tc>
        <w:tc>
          <w:tcPr>
            <w:tcW w:w="0" w:type="auto"/>
          </w:tcPr>
          <w:p w14:paraId="0FE521F6" w14:textId="77777777" w:rsidR="00170A27" w:rsidRDefault="00170A27" w:rsidP="000C2BC6">
            <w:r>
              <w:t>Bias</w:t>
            </w:r>
          </w:p>
        </w:tc>
        <w:tc>
          <w:tcPr>
            <w:tcW w:w="1814" w:type="dxa"/>
          </w:tcPr>
          <w:p w14:paraId="645483BA" w14:textId="77777777" w:rsidR="00170A27" w:rsidRDefault="00170A27" w:rsidP="000C2BC6">
            <w:r>
              <w:t>Other Comments</w:t>
            </w:r>
          </w:p>
        </w:tc>
      </w:tr>
      <w:tr w:rsidR="00063C99" w14:paraId="7150BC82" w14:textId="77777777" w:rsidTr="000C2BC6">
        <w:tc>
          <w:tcPr>
            <w:tcW w:w="0" w:type="auto"/>
          </w:tcPr>
          <w:p w14:paraId="6DF68C3A" w14:textId="77777777" w:rsidR="00170A27" w:rsidRDefault="00867065" w:rsidP="000C2BC6">
            <w:r>
              <w:t>1</w:t>
            </w:r>
            <w:r w:rsidR="00170A27">
              <w:t xml:space="preserve">.  </w:t>
            </w:r>
            <w:proofErr w:type="spellStart"/>
            <w:r w:rsidR="00170A27">
              <w:t>Burkman</w:t>
            </w:r>
            <w:proofErr w:type="spellEnd"/>
            <w:r w:rsidR="00170A27">
              <w:t xml:space="preserve"> JM, Posner KL, Domino KB:  Analysis of the clinical variables associated with recrudescence after malignant hyperthermia reactions.  Anesthesiology 2007</w:t>
            </w:r>
            <w:proofErr w:type="gramStart"/>
            <w:r w:rsidR="00170A27">
              <w:t>;106:901</w:t>
            </w:r>
            <w:proofErr w:type="gramEnd"/>
            <w:r w:rsidR="00170A27">
              <w:t>-6</w:t>
            </w:r>
          </w:p>
        </w:tc>
        <w:tc>
          <w:tcPr>
            <w:tcW w:w="0" w:type="auto"/>
          </w:tcPr>
          <w:p w14:paraId="266E7573" w14:textId="77777777" w:rsidR="00170A27" w:rsidRDefault="00170A27" w:rsidP="000C2BC6">
            <w:r>
              <w:t xml:space="preserve">Postoperative organ failure (49/308=16%) defined as evidence of:  </w:t>
            </w:r>
          </w:p>
          <w:p w14:paraId="769C714D" w14:textId="77777777" w:rsidR="00170A27" w:rsidRDefault="00170A27" w:rsidP="000C2BC6"/>
          <w:p w14:paraId="6AB37D79" w14:textId="77777777" w:rsidR="00170A27" w:rsidRDefault="00170A27" w:rsidP="000C2BC6">
            <w:r>
              <w:t xml:space="preserve">Cardiac dysfunction (11/308=4%), </w:t>
            </w:r>
          </w:p>
          <w:p w14:paraId="02E17762" w14:textId="77777777" w:rsidR="00170A27" w:rsidRDefault="00170A27" w:rsidP="000C2BC6"/>
          <w:p w14:paraId="1EAD97B6" w14:textId="77777777" w:rsidR="00170A27" w:rsidRDefault="00170A27" w:rsidP="000C2BC6">
            <w:r>
              <w:t>Cognitive dysfunction (22/308=7%) (</w:t>
            </w:r>
            <w:proofErr w:type="gramStart"/>
            <w:r>
              <w:t>change</w:t>
            </w:r>
            <w:proofErr w:type="gramEnd"/>
            <w:r>
              <w:t xml:space="preserve"> in consciousness or stroke), </w:t>
            </w:r>
          </w:p>
          <w:p w14:paraId="04A1E1F0" w14:textId="77777777" w:rsidR="00170A27" w:rsidRDefault="00170A27" w:rsidP="000C2BC6"/>
          <w:p w14:paraId="51655CDF" w14:textId="77777777" w:rsidR="00170A27" w:rsidRDefault="00170A27" w:rsidP="000C2BC6">
            <w:r>
              <w:t xml:space="preserve">DIC (8/308=3%), </w:t>
            </w:r>
          </w:p>
          <w:p w14:paraId="38A8C90E" w14:textId="77777777" w:rsidR="00170A27" w:rsidRDefault="00170A27" w:rsidP="000C2BC6"/>
          <w:p w14:paraId="3E35E318" w14:textId="77777777" w:rsidR="00170A27" w:rsidRDefault="00170A27" w:rsidP="000C2BC6">
            <w:proofErr w:type="gramStart"/>
            <w:r>
              <w:t>hepatic</w:t>
            </w:r>
            <w:proofErr w:type="gramEnd"/>
            <w:r>
              <w:t xml:space="preserve"> dysfunction (10/308=3%), </w:t>
            </w:r>
          </w:p>
          <w:p w14:paraId="3455F4B9" w14:textId="77777777" w:rsidR="00170A27" w:rsidRDefault="00170A27" w:rsidP="000C2BC6"/>
          <w:p w14:paraId="609A315A" w14:textId="77777777" w:rsidR="00170A27" w:rsidRDefault="00170A27" w:rsidP="000C2BC6">
            <w:proofErr w:type="gramStart"/>
            <w:r>
              <w:t>pulmonary</w:t>
            </w:r>
            <w:proofErr w:type="gramEnd"/>
            <w:r>
              <w:t xml:space="preserve"> dysfunction (14/308=5%)</w:t>
            </w:r>
          </w:p>
          <w:p w14:paraId="166422DD" w14:textId="77777777" w:rsidR="00170A27" w:rsidRDefault="00170A27" w:rsidP="000C2BC6">
            <w:r>
              <w:t>(</w:t>
            </w:r>
            <w:proofErr w:type="gramStart"/>
            <w:r>
              <w:t>prolonged</w:t>
            </w:r>
            <w:proofErr w:type="gramEnd"/>
            <w:r>
              <w:t xml:space="preserve"> intubation, pulmonary edema, pleural effusion), </w:t>
            </w:r>
          </w:p>
          <w:p w14:paraId="1A9A319C" w14:textId="77777777" w:rsidR="00170A27" w:rsidRDefault="00170A27" w:rsidP="000C2BC6"/>
          <w:p w14:paraId="286DDF6D" w14:textId="77777777" w:rsidR="00170A27" w:rsidRDefault="00170A27" w:rsidP="000C2BC6">
            <w:proofErr w:type="gramStart"/>
            <w:r>
              <w:t>renal</w:t>
            </w:r>
            <w:proofErr w:type="gramEnd"/>
            <w:r>
              <w:t xml:space="preserve"> dysfunction (11/308=4%)</w:t>
            </w:r>
          </w:p>
          <w:p w14:paraId="1A212374" w14:textId="77777777" w:rsidR="00170A27" w:rsidRDefault="00170A27" w:rsidP="000C2BC6">
            <w:r>
              <w:t>See Table 4, p. 904</w:t>
            </w:r>
          </w:p>
        </w:tc>
        <w:tc>
          <w:tcPr>
            <w:tcW w:w="0" w:type="auto"/>
          </w:tcPr>
          <w:p w14:paraId="0459DE3A" w14:textId="77777777" w:rsidR="00170A27" w:rsidRDefault="00170A27" w:rsidP="000C2BC6">
            <w:r>
              <w:lastRenderedPageBreak/>
              <w:t xml:space="preserve">No data on </w:t>
            </w:r>
            <w:proofErr w:type="spellStart"/>
            <w:r>
              <w:t>dantrolene</w:t>
            </w:r>
            <w:proofErr w:type="spellEnd"/>
            <w:r>
              <w:t xml:space="preserve"> dose and postoperative organ failure.</w:t>
            </w:r>
          </w:p>
          <w:p w14:paraId="06AF1CAF" w14:textId="77777777" w:rsidR="00170A27" w:rsidRDefault="00170A27" w:rsidP="000C2BC6">
            <w:r>
              <w:t xml:space="preserve">Data regarding </w:t>
            </w:r>
            <w:proofErr w:type="spellStart"/>
            <w:r>
              <w:t>dantrolene</w:t>
            </w:r>
            <w:proofErr w:type="spellEnd"/>
            <w:r>
              <w:t xml:space="preserve"> dose only analyzed for its association with recrudescence and not for its association with postoperative organ failure.</w:t>
            </w:r>
          </w:p>
          <w:p w14:paraId="06EC0F3D" w14:textId="77777777" w:rsidR="00170A27" w:rsidRDefault="00170A27" w:rsidP="000C2BC6">
            <w:r>
              <w:t xml:space="preserve">Where known (n=244), the initial </w:t>
            </w:r>
            <w:proofErr w:type="spellStart"/>
            <w:r>
              <w:lastRenderedPageBreak/>
              <w:t>dantrolene</w:t>
            </w:r>
            <w:proofErr w:type="spellEnd"/>
            <w:r>
              <w:t xml:space="preserve"> dose administered was similar between the two groups (those who recrudesced and those who did not recrudesce).</w:t>
            </w:r>
          </w:p>
        </w:tc>
        <w:tc>
          <w:tcPr>
            <w:tcW w:w="0" w:type="auto"/>
          </w:tcPr>
          <w:p w14:paraId="29114A57" w14:textId="04777899" w:rsidR="00170A27" w:rsidRDefault="00170A27" w:rsidP="000C2BC6">
            <w:r>
              <w:lastRenderedPageBreak/>
              <w:t>CGS</w:t>
            </w:r>
            <w:r w:rsidR="00063C99">
              <w:t>*</w:t>
            </w:r>
            <w:r>
              <w:t xml:space="preserve"> score of &gt;=20</w:t>
            </w:r>
          </w:p>
          <w:p w14:paraId="175DA168" w14:textId="548EC555" w:rsidR="00170A27" w:rsidRDefault="00170A27" w:rsidP="000C2BC6">
            <w:r>
              <w:t>(MH rank &gt;=4) (“</w:t>
            </w:r>
            <w:proofErr w:type="gramStart"/>
            <w:r>
              <w:t>somewhat</w:t>
            </w:r>
            <w:proofErr w:type="gramEnd"/>
            <w:r>
              <w:t xml:space="preserve"> greater th</w:t>
            </w:r>
            <w:r w:rsidR="0060545D">
              <w:t>an likely” MH)-clinical not contracture testing</w:t>
            </w:r>
            <w:r>
              <w:t xml:space="preserve"> or genetic diagnosis</w:t>
            </w:r>
          </w:p>
        </w:tc>
        <w:tc>
          <w:tcPr>
            <w:tcW w:w="0" w:type="auto"/>
          </w:tcPr>
          <w:p w14:paraId="7E05D64A" w14:textId="77777777" w:rsidR="00170A27" w:rsidRDefault="0048428D" w:rsidP="000C2BC6">
            <w:r>
              <w:t>3</w:t>
            </w:r>
          </w:p>
        </w:tc>
        <w:tc>
          <w:tcPr>
            <w:tcW w:w="0" w:type="auto"/>
          </w:tcPr>
          <w:p w14:paraId="40FAC7F9" w14:textId="765A3CBA" w:rsidR="00170A27" w:rsidRDefault="00170A27" w:rsidP="000C2BC6">
            <w:r>
              <w:t>NAMHR</w:t>
            </w:r>
            <w:r w:rsidR="0060545D">
              <w:t>*</w:t>
            </w:r>
            <w:r w:rsidR="00063C99">
              <w:t>*</w:t>
            </w:r>
            <w:r>
              <w:t xml:space="preserve"> data for AMRAs received from 1987 through 12/31/2004</w:t>
            </w:r>
          </w:p>
          <w:p w14:paraId="6FD6754B" w14:textId="77777777" w:rsidR="00170A27" w:rsidRDefault="00170A27" w:rsidP="000C2BC6">
            <w:r>
              <w:t>Reporting and recall bias; selection bias (death cases with initial episode were excluded)</w:t>
            </w:r>
          </w:p>
          <w:p w14:paraId="115EB649" w14:textId="77777777" w:rsidR="00170A27" w:rsidRDefault="00170A27" w:rsidP="000C2BC6">
            <w:r>
              <w:t xml:space="preserve">Not classic case control study and </w:t>
            </w:r>
            <w:r>
              <w:lastRenderedPageBreak/>
              <w:t xml:space="preserve">confounding is present; “associations do not imply causation” </w:t>
            </w:r>
          </w:p>
        </w:tc>
        <w:tc>
          <w:tcPr>
            <w:tcW w:w="1814" w:type="dxa"/>
          </w:tcPr>
          <w:p w14:paraId="7983C1B1" w14:textId="77777777" w:rsidR="00170A27" w:rsidRDefault="00170A27" w:rsidP="000C2BC6">
            <w:r>
              <w:lastRenderedPageBreak/>
              <w:t>Analyzed in relationship to recrudescence;  “Patients who recrudesced were more likely to experience postoperative organ failure than patients in the control group (P&lt;0.01)</w:t>
            </w:r>
          </w:p>
          <w:p w14:paraId="4EAAA5D3" w14:textId="77777777" w:rsidR="00170A27" w:rsidRDefault="00170A27" w:rsidP="000C2BC6">
            <w:r>
              <w:t xml:space="preserve">However the analysis in column 2 is for </w:t>
            </w:r>
            <w:r>
              <w:lastRenderedPageBreak/>
              <w:t>those who both recrudesced and those that did not.</w:t>
            </w:r>
          </w:p>
          <w:p w14:paraId="03A879AE" w14:textId="4F4F8E61" w:rsidR="00170A27" w:rsidRDefault="00F1544D" w:rsidP="000C2BC6">
            <w:r>
              <w:t>Data has overlap with reference #</w:t>
            </w:r>
            <w:proofErr w:type="gramStart"/>
            <w:r>
              <w:t>2</w:t>
            </w:r>
            <w:r w:rsidR="00170A27">
              <w:t xml:space="preserve"> </w:t>
            </w:r>
            <w:r w:rsidR="00A8555C">
              <w:t xml:space="preserve"> with</w:t>
            </w:r>
            <w:proofErr w:type="gramEnd"/>
            <w:r w:rsidR="00A8555C">
              <w:t xml:space="preserve"> reference #1 having l</w:t>
            </w:r>
            <w:r w:rsidR="00170A27">
              <w:t xml:space="preserve">ess stringent </w:t>
            </w:r>
            <w:r w:rsidR="00A8555C">
              <w:t>MH definition</w:t>
            </w:r>
            <w:r w:rsidR="00170A27">
              <w:t xml:space="preserve"> and fewer years. </w:t>
            </w:r>
          </w:p>
        </w:tc>
      </w:tr>
      <w:tr w:rsidR="00063C99" w14:paraId="0F85BAFC" w14:textId="77777777" w:rsidTr="000C2BC6">
        <w:tc>
          <w:tcPr>
            <w:tcW w:w="0" w:type="auto"/>
          </w:tcPr>
          <w:p w14:paraId="415CBF30" w14:textId="77777777" w:rsidR="00170A27" w:rsidRDefault="00867065" w:rsidP="000C2BC6">
            <w:r>
              <w:lastRenderedPageBreak/>
              <w:t>2</w:t>
            </w:r>
            <w:r w:rsidR="00170A27">
              <w:t>.  Larach MG, Gronert GA</w:t>
            </w:r>
            <w:proofErr w:type="gramStart"/>
            <w:r w:rsidR="00170A27">
              <w:t>,  Allen</w:t>
            </w:r>
            <w:proofErr w:type="gramEnd"/>
            <w:r w:rsidR="00170A27">
              <w:t xml:space="preserve"> GC, </w:t>
            </w:r>
            <w:proofErr w:type="spellStart"/>
            <w:r w:rsidR="00170A27">
              <w:t>Brandom</w:t>
            </w:r>
            <w:proofErr w:type="spellEnd"/>
            <w:r w:rsidR="00170A27">
              <w:t xml:space="preserve"> BW, Lehman EB. Clinical presentation, treatment, and complications of malignant hyperthermia in </w:t>
            </w:r>
            <w:r w:rsidR="00170A27">
              <w:lastRenderedPageBreak/>
              <w:t xml:space="preserve">North America from 1987 to 2006. </w:t>
            </w:r>
            <w:proofErr w:type="spellStart"/>
            <w:r w:rsidR="00170A27">
              <w:t>Anesth</w:t>
            </w:r>
            <w:proofErr w:type="spellEnd"/>
            <w:r w:rsidR="00170A27">
              <w:t xml:space="preserve"> Analg 2010</w:t>
            </w:r>
            <w:proofErr w:type="gramStart"/>
            <w:r w:rsidR="00170A27">
              <w:t>;110:498</w:t>
            </w:r>
            <w:proofErr w:type="gramEnd"/>
            <w:r w:rsidR="00170A27">
              <w:t>-507</w:t>
            </w:r>
          </w:p>
        </w:tc>
        <w:tc>
          <w:tcPr>
            <w:tcW w:w="0" w:type="auto"/>
          </w:tcPr>
          <w:p w14:paraId="1E1F66F0" w14:textId="77777777" w:rsidR="00170A27" w:rsidRPr="00AB7C44" w:rsidRDefault="00170A27" w:rsidP="000C2BC6">
            <w:pPr>
              <w:rPr>
                <w:b/>
              </w:rPr>
            </w:pPr>
            <w:r w:rsidRPr="00AB7C44">
              <w:rPr>
                <w:b/>
              </w:rPr>
              <w:lastRenderedPageBreak/>
              <w:t xml:space="preserve">Complications not including recrudescence, cardiac arrest, or death occurred in 63 of 181 MH events (34.8%) </w:t>
            </w:r>
          </w:p>
          <w:p w14:paraId="35BCB824" w14:textId="77777777" w:rsidR="00170A27" w:rsidRDefault="00170A27" w:rsidP="000C2BC6"/>
          <w:p w14:paraId="23F10456" w14:textId="77777777" w:rsidR="00170A27" w:rsidRDefault="00170A27" w:rsidP="000C2BC6">
            <w:r>
              <w:t xml:space="preserve">The likelihood of </w:t>
            </w:r>
            <w:r>
              <w:lastRenderedPageBreak/>
              <w:t xml:space="preserve">any complication increased 2.9 times per 2°C increase in maximum temperature and 1.6 times per 30-minute delay in </w:t>
            </w:r>
            <w:proofErr w:type="spellStart"/>
            <w:r>
              <w:t>dantrolene</w:t>
            </w:r>
            <w:proofErr w:type="spellEnd"/>
            <w:r>
              <w:t xml:space="preserve"> use.</w:t>
            </w:r>
          </w:p>
          <w:p w14:paraId="7040271D" w14:textId="77777777" w:rsidR="00170A27" w:rsidRDefault="00170A27" w:rsidP="000C2BC6"/>
          <w:p w14:paraId="68297580" w14:textId="77777777" w:rsidR="00170A27" w:rsidRDefault="00170A27" w:rsidP="000C2BC6">
            <w:r>
              <w:t xml:space="preserve">See Table 6. </w:t>
            </w:r>
            <w:proofErr w:type="gramStart"/>
            <w:r>
              <w:t>p</w:t>
            </w:r>
            <w:proofErr w:type="gramEnd"/>
            <w:r>
              <w:t>.503</w:t>
            </w:r>
          </w:p>
          <w:p w14:paraId="198D93FB" w14:textId="77777777" w:rsidR="00170A27" w:rsidRDefault="00170A27" w:rsidP="000C2BC6"/>
          <w:p w14:paraId="6772CDE9" w14:textId="77777777" w:rsidR="00170A27" w:rsidRDefault="00170A27" w:rsidP="000C2BC6">
            <w:r>
              <w:t>Consciousness level change/coma</w:t>
            </w:r>
          </w:p>
          <w:p w14:paraId="3A5259A8" w14:textId="77777777" w:rsidR="00170A27" w:rsidRDefault="00170A27" w:rsidP="000C2BC6">
            <w:r>
              <w:t>17/181 (9.4)</w:t>
            </w:r>
          </w:p>
          <w:p w14:paraId="04465F19" w14:textId="77777777" w:rsidR="00170A27" w:rsidRDefault="00170A27" w:rsidP="000C2BC6"/>
          <w:p w14:paraId="1ABAE620" w14:textId="77777777" w:rsidR="00170A27" w:rsidRDefault="00170A27" w:rsidP="000C2BC6">
            <w:r>
              <w:t xml:space="preserve">Cardiac dysfunction </w:t>
            </w:r>
          </w:p>
          <w:p w14:paraId="0F1B1B44" w14:textId="77777777" w:rsidR="00170A27" w:rsidRDefault="00170A27" w:rsidP="000C2BC6">
            <w:r>
              <w:t>17/181 (9.4)</w:t>
            </w:r>
          </w:p>
          <w:p w14:paraId="1DF1B7AD" w14:textId="77777777" w:rsidR="00170A27" w:rsidRDefault="00170A27" w:rsidP="000C2BC6"/>
          <w:p w14:paraId="5D20359F" w14:textId="77777777" w:rsidR="00170A27" w:rsidRDefault="00170A27" w:rsidP="000C2BC6">
            <w:r>
              <w:t>Pulmonary edema</w:t>
            </w:r>
          </w:p>
          <w:p w14:paraId="37B6036E" w14:textId="77777777" w:rsidR="00170A27" w:rsidRDefault="00170A27" w:rsidP="000C2BC6">
            <w:r>
              <w:t>15/181 (8.4)</w:t>
            </w:r>
          </w:p>
          <w:p w14:paraId="5CAE77AA" w14:textId="77777777" w:rsidR="00170A27" w:rsidRDefault="00170A27" w:rsidP="000C2BC6"/>
          <w:p w14:paraId="2C319365" w14:textId="77777777" w:rsidR="00170A27" w:rsidRDefault="00170A27" w:rsidP="000C2BC6">
            <w:r>
              <w:t>Renal dysfunction</w:t>
            </w:r>
          </w:p>
          <w:p w14:paraId="04F04CFB" w14:textId="77777777" w:rsidR="00170A27" w:rsidRDefault="00170A27" w:rsidP="000C2BC6">
            <w:r>
              <w:t>13/181 (7.2) % corrected by 1</w:t>
            </w:r>
            <w:r w:rsidRPr="003D461A">
              <w:rPr>
                <w:vertAlign w:val="superscript"/>
              </w:rPr>
              <w:t>st</w:t>
            </w:r>
            <w:r>
              <w:t xml:space="preserve"> author</w:t>
            </w:r>
          </w:p>
          <w:p w14:paraId="11C5F102" w14:textId="77777777" w:rsidR="00170A27" w:rsidRDefault="00170A27" w:rsidP="000C2BC6"/>
          <w:p w14:paraId="71BB9990" w14:textId="6AB1DDBC" w:rsidR="00170A27" w:rsidRDefault="00170A27" w:rsidP="000C2BC6">
            <w:r>
              <w:t>DIC</w:t>
            </w:r>
            <w:r w:rsidR="00063C99">
              <w:rPr>
                <w:rFonts w:ascii="Cambria" w:hAnsi="Cambria"/>
              </w:rPr>
              <w:t>§</w:t>
            </w:r>
          </w:p>
          <w:p w14:paraId="44FF2039" w14:textId="77777777" w:rsidR="00170A27" w:rsidRDefault="00170A27" w:rsidP="000C2BC6">
            <w:r>
              <w:lastRenderedPageBreak/>
              <w:t>13/181 (7.2)</w:t>
            </w:r>
          </w:p>
          <w:p w14:paraId="0A840EBD" w14:textId="77777777" w:rsidR="00170A27" w:rsidRDefault="00170A27" w:rsidP="000C2BC6"/>
          <w:p w14:paraId="07362EF2" w14:textId="77777777" w:rsidR="00170A27" w:rsidRDefault="00170A27" w:rsidP="000C2BC6">
            <w:r>
              <w:t>Hepatic dysfunction</w:t>
            </w:r>
          </w:p>
          <w:p w14:paraId="44B3BBED" w14:textId="77777777" w:rsidR="00170A27" w:rsidRDefault="00170A27" w:rsidP="000C2BC6">
            <w:r>
              <w:t>10/181 (5.6%)</w:t>
            </w:r>
          </w:p>
          <w:p w14:paraId="3E3D4DE9" w14:textId="77777777" w:rsidR="00170A27" w:rsidRDefault="00170A27" w:rsidP="000C2BC6"/>
          <w:p w14:paraId="50E2C32D" w14:textId="77777777" w:rsidR="00170A27" w:rsidRDefault="00170A27" w:rsidP="000C2BC6">
            <w:r>
              <w:t>Other</w:t>
            </w:r>
          </w:p>
          <w:p w14:paraId="266685E4" w14:textId="77777777" w:rsidR="00170A27" w:rsidRDefault="00170A27" w:rsidP="000C2BC6">
            <w:r>
              <w:t>23/181 (12.7%)</w:t>
            </w:r>
          </w:p>
          <w:p w14:paraId="462B4EEC" w14:textId="77777777" w:rsidR="00170A27" w:rsidRDefault="00170A27" w:rsidP="000C2BC6"/>
        </w:tc>
        <w:tc>
          <w:tcPr>
            <w:tcW w:w="0" w:type="auto"/>
          </w:tcPr>
          <w:p w14:paraId="067F9E70" w14:textId="344BB657" w:rsidR="00170A27" w:rsidRPr="00F729E4" w:rsidRDefault="00170A27" w:rsidP="000C2BC6">
            <w:r>
              <w:lastRenderedPageBreak/>
              <w:t xml:space="preserve">Regarding the relationship between no </w:t>
            </w:r>
            <w:proofErr w:type="spellStart"/>
            <w:r>
              <w:t>dantrolene</w:t>
            </w:r>
            <w:proofErr w:type="spellEnd"/>
            <w:r>
              <w:t xml:space="preserve"> and the experience of MH complications:  2/11 MH cases who did not receive </w:t>
            </w:r>
            <w:proofErr w:type="spellStart"/>
            <w:r>
              <w:t>dantrolene</w:t>
            </w:r>
            <w:proofErr w:type="spellEnd"/>
            <w:r>
              <w:t xml:space="preserve"> but had </w:t>
            </w:r>
            <w:r>
              <w:lastRenderedPageBreak/>
              <w:t>information regarding MH complications experienced hepatic dysfunction with a peak CK</w:t>
            </w:r>
            <w:r w:rsidR="0060545D">
              <w:t>*</w:t>
            </w:r>
            <w:r w:rsidR="00063C99">
              <w:t>**</w:t>
            </w:r>
            <w:r>
              <w:t xml:space="preserve"> of 37,911U/</w:t>
            </w:r>
            <w:proofErr w:type="gramStart"/>
            <w:r>
              <w:t>L  and</w:t>
            </w:r>
            <w:proofErr w:type="gramEnd"/>
            <w:r>
              <w:t xml:space="preserve"> lower extremity soreness with a peak CK of 365,970.  There was inadequate power to detect differences between the group receiving </w:t>
            </w:r>
            <w:proofErr w:type="spellStart"/>
            <w:r>
              <w:t>dantrolene</w:t>
            </w:r>
            <w:proofErr w:type="spellEnd"/>
            <w:r>
              <w:t xml:space="preserve"> (n=229) and the one not receiving </w:t>
            </w:r>
            <w:proofErr w:type="spellStart"/>
            <w:r>
              <w:t>dantrolene</w:t>
            </w:r>
            <w:proofErr w:type="spellEnd"/>
            <w:r>
              <w:t xml:space="preserve"> (n=22) for experience of MH complications. </w:t>
            </w:r>
            <w:r>
              <w:rPr>
                <w:b/>
              </w:rPr>
              <w:t>The likelihood of a</w:t>
            </w:r>
            <w:r w:rsidRPr="00F729E4">
              <w:rPr>
                <w:b/>
              </w:rPr>
              <w:t xml:space="preserve"> </w:t>
            </w:r>
            <w:r>
              <w:rPr>
                <w:b/>
              </w:rPr>
              <w:t xml:space="preserve">MH </w:t>
            </w:r>
            <w:r w:rsidRPr="00F729E4">
              <w:rPr>
                <w:b/>
              </w:rPr>
              <w:t>complication</w:t>
            </w:r>
            <w:r>
              <w:t xml:space="preserve"> </w:t>
            </w:r>
            <w:r w:rsidRPr="00AB7C44">
              <w:rPr>
                <w:b/>
              </w:rPr>
              <w:t xml:space="preserve">increased </w:t>
            </w:r>
            <w:r w:rsidRPr="00F729E4">
              <w:rPr>
                <w:b/>
              </w:rPr>
              <w:t>1.6</w:t>
            </w:r>
            <w:r>
              <w:rPr>
                <w:b/>
              </w:rPr>
              <w:t>1</w:t>
            </w:r>
            <w:r w:rsidRPr="00F729E4">
              <w:rPr>
                <w:b/>
              </w:rPr>
              <w:t xml:space="preserve"> </w:t>
            </w:r>
            <w:r>
              <w:rPr>
                <w:b/>
              </w:rPr>
              <w:t xml:space="preserve">(95% CI, 1.16-2.25) times for every 30-minute </w:t>
            </w:r>
            <w:r>
              <w:rPr>
                <w:b/>
              </w:rPr>
              <w:lastRenderedPageBreak/>
              <w:t xml:space="preserve">increase in time between the first MH sign and the first </w:t>
            </w:r>
            <w:proofErr w:type="spellStart"/>
            <w:r>
              <w:rPr>
                <w:b/>
              </w:rPr>
              <w:t>dantrolene</w:t>
            </w:r>
            <w:proofErr w:type="spellEnd"/>
            <w:r>
              <w:rPr>
                <w:b/>
              </w:rPr>
              <w:t xml:space="preserve"> dose</w:t>
            </w:r>
            <w:r>
              <w:t xml:space="preserve"> and 2.85 times (95% CI, 1.60-5.08) for every 2°C increase in maximum temperature.</w:t>
            </w:r>
            <w:r>
              <w:rPr>
                <w:b/>
              </w:rPr>
              <w:t xml:space="preserve">  </w:t>
            </w:r>
            <w:proofErr w:type="spellStart"/>
            <w:r>
              <w:t>Hosmer-Lemeshow</w:t>
            </w:r>
            <w:proofErr w:type="spellEnd"/>
            <w:r>
              <w:t xml:space="preserve"> goodness of fit test for this model is P=0.140.  Held even if removed 6 patients experiencing cardiac arrest.  </w:t>
            </w:r>
            <w:r w:rsidRPr="009F1600">
              <w:rPr>
                <w:b/>
              </w:rPr>
              <w:t xml:space="preserve">Amount of initial </w:t>
            </w:r>
            <w:proofErr w:type="spellStart"/>
            <w:r w:rsidRPr="009F1600">
              <w:rPr>
                <w:b/>
              </w:rPr>
              <w:t>dantrolene</w:t>
            </w:r>
            <w:proofErr w:type="spellEnd"/>
            <w:r w:rsidRPr="009F1600">
              <w:rPr>
                <w:b/>
              </w:rPr>
              <w:t xml:space="preserve"> dose was examined and was not found to be significant for model (odds ratio 1.13 (95% CI 0.96,1.33) P=1.000.</w:t>
            </w:r>
            <w:r>
              <w:rPr>
                <w:b/>
              </w:rPr>
              <w:t xml:space="preserve">   For group not </w:t>
            </w:r>
            <w:r>
              <w:rPr>
                <w:b/>
              </w:rPr>
              <w:lastRenderedPageBreak/>
              <w:t xml:space="preserve">experiencing complications the median initial </w:t>
            </w:r>
            <w:proofErr w:type="spellStart"/>
            <w:r>
              <w:rPr>
                <w:b/>
              </w:rPr>
              <w:t>dantrolene</w:t>
            </w:r>
            <w:proofErr w:type="spellEnd"/>
            <w:r>
              <w:rPr>
                <w:b/>
              </w:rPr>
              <w:t xml:space="preserve"> dose was 2.31 (1.47, 2.67) mg/kg and for the group experiencing complications, the median initial dose of </w:t>
            </w:r>
            <w:proofErr w:type="spellStart"/>
            <w:r>
              <w:rPr>
                <w:b/>
              </w:rPr>
              <w:t>dantrolene</w:t>
            </w:r>
            <w:proofErr w:type="spellEnd"/>
            <w:r>
              <w:rPr>
                <w:b/>
              </w:rPr>
              <w:t xml:space="preserve"> was 2.48 (2.00, 2.89) mg/kg </w:t>
            </w:r>
            <w:r w:rsidRPr="009F1600">
              <w:t>(</w:t>
            </w:r>
            <w:r>
              <w:t>median initial doses, 25%, 75%, odds ratio, 95%</w:t>
            </w:r>
            <w:r w:rsidR="00063C99">
              <w:t xml:space="preserve"> </w:t>
            </w:r>
            <w:r w:rsidR="000C2BC6">
              <w:t>C.I., P values are from Erik B. Lehman, M.S., Department of Public Health Sciences, Penn State College of Medicine, Hershey, Pennsylvania, person</w:t>
            </w:r>
            <w:r w:rsidR="00C559B2">
              <w:t>al communication to M G</w:t>
            </w:r>
            <w:r w:rsidR="000C2BC6">
              <w:t xml:space="preserve"> Larach on </w:t>
            </w:r>
            <w:r w:rsidR="000C2BC6">
              <w:lastRenderedPageBreak/>
              <w:t>May 26, 2009 from this dataset analysis.)</w:t>
            </w:r>
          </w:p>
          <w:p w14:paraId="68EDD4F9" w14:textId="77777777" w:rsidR="00170A27" w:rsidRDefault="00170A27" w:rsidP="000C2BC6"/>
          <w:p w14:paraId="07104DB2" w14:textId="77777777" w:rsidR="00170A27" w:rsidRDefault="00170A27" w:rsidP="000C2BC6">
            <w:r>
              <w:t xml:space="preserve">   </w:t>
            </w:r>
          </w:p>
        </w:tc>
        <w:tc>
          <w:tcPr>
            <w:tcW w:w="0" w:type="auto"/>
          </w:tcPr>
          <w:p w14:paraId="17815519" w14:textId="0A5AC051" w:rsidR="00170A27" w:rsidRDefault="00170A27" w:rsidP="000C2BC6">
            <w:r>
              <w:lastRenderedPageBreak/>
              <w:t>CGS score of &gt;=35 =Rank 5 and 6 or “very likely” or “almost ce</w:t>
            </w:r>
            <w:r w:rsidR="0060545D">
              <w:t>rtain” MH-no genotyping or contracture testing</w:t>
            </w:r>
            <w:r>
              <w:t xml:space="preserve"> confirmation </w:t>
            </w:r>
            <w:r>
              <w:lastRenderedPageBreak/>
              <w:t>of MH susceptibility</w:t>
            </w:r>
          </w:p>
        </w:tc>
        <w:tc>
          <w:tcPr>
            <w:tcW w:w="0" w:type="auto"/>
          </w:tcPr>
          <w:p w14:paraId="57AA52BC" w14:textId="77777777" w:rsidR="00170A27" w:rsidRDefault="0048428D" w:rsidP="000C2BC6">
            <w:r>
              <w:lastRenderedPageBreak/>
              <w:t>3</w:t>
            </w:r>
          </w:p>
        </w:tc>
        <w:tc>
          <w:tcPr>
            <w:tcW w:w="0" w:type="auto"/>
          </w:tcPr>
          <w:p w14:paraId="3C34C80B" w14:textId="444CEFE1" w:rsidR="00170A27" w:rsidRDefault="00170A27" w:rsidP="000C2BC6">
            <w:r>
              <w:t xml:space="preserve">NAMHR data for AMRAs received from 1/1/1987* through 12/31/2006 Reporting and recall bias; selection bias </w:t>
            </w:r>
          </w:p>
          <w:p w14:paraId="4FEB2E5A" w14:textId="77777777" w:rsidR="00170A27" w:rsidRDefault="00170A27" w:rsidP="000C2BC6">
            <w:r>
              <w:t xml:space="preserve">Not classic </w:t>
            </w:r>
            <w:r>
              <w:lastRenderedPageBreak/>
              <w:t>case control study and confounding is present;</w:t>
            </w:r>
          </w:p>
          <w:p w14:paraId="0C5E232B" w14:textId="77777777" w:rsidR="00170A27" w:rsidRDefault="00170A27" w:rsidP="000C2BC6">
            <w:r>
              <w:t>“</w:t>
            </w:r>
            <w:proofErr w:type="gramStart"/>
            <w:r>
              <w:t>associations</w:t>
            </w:r>
            <w:proofErr w:type="gramEnd"/>
            <w:r>
              <w:t xml:space="preserve"> do not imply causation”</w:t>
            </w:r>
          </w:p>
          <w:p w14:paraId="1277CE63" w14:textId="77777777" w:rsidR="00170A27" w:rsidRDefault="00170A27" w:rsidP="000C2BC6">
            <w:r>
              <w:t>*Earliest AMRAs did not include complication question.</w:t>
            </w:r>
          </w:p>
          <w:p w14:paraId="1935746C" w14:textId="77777777" w:rsidR="00170A27" w:rsidRDefault="00170A27" w:rsidP="000C2BC6"/>
        </w:tc>
        <w:tc>
          <w:tcPr>
            <w:tcW w:w="1814" w:type="dxa"/>
          </w:tcPr>
          <w:p w14:paraId="32C01F83" w14:textId="77777777" w:rsidR="00170A27" w:rsidRDefault="00170A27" w:rsidP="000C2BC6">
            <w:r>
              <w:lastRenderedPageBreak/>
              <w:t xml:space="preserve">Complications defined as a change in consciousness level and/or coma; DIC, pulmonary edema, cardiac, renal or hepatic </w:t>
            </w:r>
            <w:r>
              <w:lastRenderedPageBreak/>
              <w:t>dysfunction, or “other” complication as specified by the reporting clinician.  Many</w:t>
            </w:r>
            <w:r w:rsidR="00F1544D">
              <w:t xml:space="preserve"> cases overlap with reference #1</w:t>
            </w:r>
            <w:r>
              <w:t xml:space="preserve">. </w:t>
            </w:r>
            <w:r w:rsidR="00F1544D">
              <w:t xml:space="preserve"> </w:t>
            </w:r>
            <w:r>
              <w:t>Only 1.8% of cases from Canada.  The rest were from U.S.</w:t>
            </w:r>
          </w:p>
        </w:tc>
      </w:tr>
      <w:tr w:rsidR="00063C99" w14:paraId="57F1F9C6" w14:textId="77777777" w:rsidTr="000C2BC6">
        <w:tc>
          <w:tcPr>
            <w:tcW w:w="0" w:type="auto"/>
          </w:tcPr>
          <w:p w14:paraId="18631996" w14:textId="77777777" w:rsidR="00170A27" w:rsidRDefault="00867065" w:rsidP="000C2BC6">
            <w:r>
              <w:lastRenderedPageBreak/>
              <w:t>3</w:t>
            </w:r>
            <w:r w:rsidR="00170A27">
              <w:t xml:space="preserve">.  Nelson P, </w:t>
            </w:r>
            <w:proofErr w:type="spellStart"/>
            <w:r w:rsidR="00170A27">
              <w:t>Litman</w:t>
            </w:r>
            <w:proofErr w:type="spellEnd"/>
            <w:r w:rsidR="00170A27">
              <w:t xml:space="preserve"> RS. Malignant hyperthermia in children: an analysis of the North American Malignant Hyperthermia Registry. </w:t>
            </w:r>
            <w:proofErr w:type="spellStart"/>
            <w:r w:rsidR="00170A27">
              <w:t>Anesth</w:t>
            </w:r>
            <w:proofErr w:type="spellEnd"/>
            <w:r w:rsidR="00170A27">
              <w:t xml:space="preserve"> Analg 2014</w:t>
            </w:r>
            <w:proofErr w:type="gramStart"/>
            <w:r w:rsidR="00170A27">
              <w:t>;118:369</w:t>
            </w:r>
            <w:proofErr w:type="gramEnd"/>
            <w:r w:rsidR="00170A27">
              <w:t>-74</w:t>
            </w:r>
          </w:p>
        </w:tc>
        <w:tc>
          <w:tcPr>
            <w:tcW w:w="0" w:type="auto"/>
          </w:tcPr>
          <w:p w14:paraId="2CD94046" w14:textId="77777777" w:rsidR="00170A27" w:rsidRDefault="00170A27" w:rsidP="000C2BC6">
            <w:r>
              <w:t xml:space="preserve">“Other major complications were uncommon, with cardiac dysfunction having the highest incidence of 4.5%.   12/264.  No further reference to what the other complications were.   </w:t>
            </w:r>
          </w:p>
        </w:tc>
        <w:tc>
          <w:tcPr>
            <w:tcW w:w="0" w:type="auto"/>
          </w:tcPr>
          <w:p w14:paraId="25837A6C" w14:textId="77777777" w:rsidR="00170A27" w:rsidRDefault="00170A27" w:rsidP="000C2BC6">
            <w:r>
              <w:t xml:space="preserve">Impact of </w:t>
            </w:r>
            <w:proofErr w:type="spellStart"/>
            <w:r>
              <w:t>dantrolene</w:t>
            </w:r>
            <w:proofErr w:type="spellEnd"/>
            <w:r>
              <w:t xml:space="preserve"> on MH complications not examined.</w:t>
            </w:r>
          </w:p>
        </w:tc>
        <w:tc>
          <w:tcPr>
            <w:tcW w:w="0" w:type="auto"/>
          </w:tcPr>
          <w:p w14:paraId="3FFC5587" w14:textId="77777777" w:rsidR="00170A27" w:rsidRDefault="00170A27" w:rsidP="000C2BC6">
            <w:r>
              <w:t>CGS score =&gt;35 (Rank 5 and rank 6); “very likely” or “almost certain</w:t>
            </w:r>
            <w:proofErr w:type="gramStart"/>
            <w:r>
              <w:t>” .</w:t>
            </w:r>
            <w:proofErr w:type="gramEnd"/>
            <w:r>
              <w:t xml:space="preserve">  Dataset restricted to &lt; or =18 years.  Events occurred between 1960 and 2011.</w:t>
            </w:r>
          </w:p>
        </w:tc>
        <w:tc>
          <w:tcPr>
            <w:tcW w:w="0" w:type="auto"/>
          </w:tcPr>
          <w:p w14:paraId="4E6A0325" w14:textId="77777777" w:rsidR="00170A27" w:rsidRDefault="0048428D" w:rsidP="000C2BC6">
            <w:r>
              <w:t>3</w:t>
            </w:r>
          </w:p>
        </w:tc>
        <w:tc>
          <w:tcPr>
            <w:tcW w:w="0" w:type="auto"/>
          </w:tcPr>
          <w:p w14:paraId="540779E2" w14:textId="77777777" w:rsidR="00170A27" w:rsidRDefault="00170A27" w:rsidP="000C2BC6">
            <w:r>
              <w:t xml:space="preserve">Reporting and recall bias; selection bias </w:t>
            </w:r>
          </w:p>
          <w:p w14:paraId="3DDBABF8" w14:textId="77777777" w:rsidR="00170A27" w:rsidRDefault="00170A27" w:rsidP="000C2BC6">
            <w:r>
              <w:t>Not classic case control study and confounding is present;</w:t>
            </w:r>
          </w:p>
          <w:p w14:paraId="2F610CE8" w14:textId="77777777" w:rsidR="00170A27" w:rsidRDefault="00170A27" w:rsidP="000C2BC6">
            <w:r>
              <w:t>“</w:t>
            </w:r>
            <w:proofErr w:type="gramStart"/>
            <w:r>
              <w:t>associations</w:t>
            </w:r>
            <w:proofErr w:type="gramEnd"/>
            <w:r>
              <w:t xml:space="preserve"> do not imply causation”</w:t>
            </w:r>
          </w:p>
          <w:p w14:paraId="3938E285" w14:textId="77777777" w:rsidR="00170A27" w:rsidRDefault="00170A27" w:rsidP="000C2BC6">
            <w:r>
              <w:t>*Earliest AMRAs did not include complication question.</w:t>
            </w:r>
          </w:p>
          <w:p w14:paraId="5656D1AC" w14:textId="77777777" w:rsidR="00170A27" w:rsidRDefault="00170A27" w:rsidP="000C2BC6"/>
        </w:tc>
        <w:tc>
          <w:tcPr>
            <w:tcW w:w="1814" w:type="dxa"/>
          </w:tcPr>
          <w:p w14:paraId="5BB686A7" w14:textId="77777777" w:rsidR="00170A27" w:rsidRDefault="00170A27" w:rsidP="000C2BC6">
            <w:r>
              <w:t xml:space="preserve">Limited to </w:t>
            </w:r>
            <w:r w:rsidRPr="00934885">
              <w:rPr>
                <w:b/>
              </w:rPr>
              <w:t>pediatrics</w:t>
            </w:r>
            <w:r>
              <w:t xml:space="preserve">.  Some of the dataset is a </w:t>
            </w:r>
            <w:r w:rsidR="00F1544D">
              <w:t>subset of reference # 2</w:t>
            </w:r>
            <w:r>
              <w:t>.</w:t>
            </w:r>
          </w:p>
          <w:p w14:paraId="0458A657" w14:textId="77777777" w:rsidR="00170A27" w:rsidRDefault="00170A27" w:rsidP="000C2BC6">
            <w:r>
              <w:t>Cardiac dysfunction in the pediatric population is 4.5</w:t>
            </w:r>
            <w:r w:rsidR="00F1544D">
              <w:t>% vs. all ages from reference #2</w:t>
            </w:r>
            <w:r>
              <w:t xml:space="preserve"> of 9.4%. </w:t>
            </w:r>
          </w:p>
        </w:tc>
      </w:tr>
      <w:tr w:rsidR="00063C99" w14:paraId="30FB5024" w14:textId="77777777" w:rsidTr="000C2BC6">
        <w:tc>
          <w:tcPr>
            <w:tcW w:w="0" w:type="auto"/>
          </w:tcPr>
          <w:p w14:paraId="7907F42C" w14:textId="77777777" w:rsidR="00170A27" w:rsidRDefault="00867065" w:rsidP="000C2BC6">
            <w:r>
              <w:t>4.</w:t>
            </w:r>
            <w:r w:rsidR="00170A27">
              <w:t xml:space="preserve">  </w:t>
            </w:r>
            <w:proofErr w:type="spellStart"/>
            <w:r w:rsidR="00170A27">
              <w:t>Riazi</w:t>
            </w:r>
            <w:proofErr w:type="spellEnd"/>
            <w:r w:rsidR="00170A27">
              <w:t xml:space="preserve"> S, Larach MG, Hu C, </w:t>
            </w:r>
            <w:proofErr w:type="spellStart"/>
            <w:r w:rsidR="00170A27">
              <w:t>Wijeysundera</w:t>
            </w:r>
            <w:proofErr w:type="spellEnd"/>
            <w:r w:rsidR="00170A27">
              <w:t xml:space="preserve"> D, Massey C, </w:t>
            </w:r>
            <w:proofErr w:type="spellStart"/>
            <w:r w:rsidR="00170A27">
              <w:t>Kraeva</w:t>
            </w:r>
            <w:proofErr w:type="spellEnd"/>
            <w:r w:rsidR="00170A27">
              <w:t xml:space="preserve"> N. Malignant hyperthermia in Canada: characteristics of </w:t>
            </w:r>
            <w:r w:rsidR="00170A27">
              <w:lastRenderedPageBreak/>
              <w:t xml:space="preserve">index anesthetics in 129 malignant hyperthermia </w:t>
            </w:r>
            <w:proofErr w:type="spellStart"/>
            <w:r w:rsidR="00170A27">
              <w:t>probands</w:t>
            </w:r>
            <w:proofErr w:type="spellEnd"/>
            <w:r w:rsidR="00170A27">
              <w:t xml:space="preserve">. </w:t>
            </w:r>
            <w:proofErr w:type="spellStart"/>
            <w:r w:rsidR="00170A27">
              <w:t>Anesth</w:t>
            </w:r>
            <w:proofErr w:type="spellEnd"/>
            <w:r w:rsidR="00170A27">
              <w:t xml:space="preserve"> Analg 2014; 118:381-7.</w:t>
            </w:r>
          </w:p>
        </w:tc>
        <w:tc>
          <w:tcPr>
            <w:tcW w:w="0" w:type="auto"/>
          </w:tcPr>
          <w:p w14:paraId="412F349F" w14:textId="77777777" w:rsidR="00170A27" w:rsidRDefault="00170A27" w:rsidP="000C2BC6">
            <w:r>
              <w:lastRenderedPageBreak/>
              <w:t xml:space="preserve">129 </w:t>
            </w:r>
            <w:proofErr w:type="spellStart"/>
            <w:r>
              <w:t>probands</w:t>
            </w:r>
            <w:proofErr w:type="spellEnd"/>
            <w:r>
              <w:t xml:space="preserve"> included in study.  Table 4. </w:t>
            </w:r>
            <w:proofErr w:type="gramStart"/>
            <w:r>
              <w:t>p</w:t>
            </w:r>
            <w:proofErr w:type="gramEnd"/>
            <w:r>
              <w:t>.384.</w:t>
            </w:r>
          </w:p>
          <w:p w14:paraId="4B027C52" w14:textId="77777777" w:rsidR="00170A27" w:rsidRDefault="00170A27" w:rsidP="000C2BC6"/>
          <w:p w14:paraId="39683759" w14:textId="77777777" w:rsidR="00170A27" w:rsidRDefault="00170A27" w:rsidP="000C2BC6">
            <w:r>
              <w:t>Patients with 1 complication</w:t>
            </w:r>
          </w:p>
          <w:p w14:paraId="6E2017D6" w14:textId="77777777" w:rsidR="00170A27" w:rsidRDefault="00170A27" w:rsidP="000C2BC6">
            <w:r>
              <w:t>13/129 (10.1%)</w:t>
            </w:r>
          </w:p>
          <w:p w14:paraId="603F6A05" w14:textId="77777777" w:rsidR="00170A27" w:rsidRDefault="00170A27" w:rsidP="000C2BC6"/>
          <w:p w14:paraId="7BD336A0" w14:textId="77777777" w:rsidR="00170A27" w:rsidRDefault="00170A27" w:rsidP="000C2BC6">
            <w:r>
              <w:lastRenderedPageBreak/>
              <w:t>Patients with multiple complications</w:t>
            </w:r>
          </w:p>
          <w:p w14:paraId="70E39F25" w14:textId="77777777" w:rsidR="00170A27" w:rsidRDefault="00170A27" w:rsidP="000C2BC6">
            <w:r>
              <w:t>13/129 (10.1%)</w:t>
            </w:r>
          </w:p>
          <w:p w14:paraId="675D3491" w14:textId="77777777" w:rsidR="00170A27" w:rsidRDefault="00170A27" w:rsidP="000C2BC6"/>
          <w:p w14:paraId="7DB68EB1" w14:textId="77777777" w:rsidR="00170A27" w:rsidRPr="003B16E8" w:rsidRDefault="00170A27" w:rsidP="000C2BC6">
            <w:pPr>
              <w:rPr>
                <w:b/>
              </w:rPr>
            </w:pPr>
            <w:r w:rsidRPr="003B16E8">
              <w:rPr>
                <w:b/>
              </w:rPr>
              <w:t>Patients with 1 or more complications</w:t>
            </w:r>
          </w:p>
          <w:p w14:paraId="5F8D0B58" w14:textId="77777777" w:rsidR="00170A27" w:rsidRPr="003B16E8" w:rsidRDefault="00170A27" w:rsidP="000C2BC6">
            <w:pPr>
              <w:rPr>
                <w:b/>
              </w:rPr>
            </w:pPr>
            <w:r w:rsidRPr="003B16E8">
              <w:rPr>
                <w:b/>
              </w:rPr>
              <w:t>26/129 (20.2%)</w:t>
            </w:r>
          </w:p>
          <w:p w14:paraId="40F9104D" w14:textId="77777777" w:rsidR="00170A27" w:rsidRDefault="00170A27" w:rsidP="000C2BC6"/>
          <w:p w14:paraId="2DF331F1" w14:textId="77777777" w:rsidR="00170A27" w:rsidRPr="003B16E8" w:rsidRDefault="00170A27" w:rsidP="000C2BC6">
            <w:pPr>
              <w:rPr>
                <w:b/>
              </w:rPr>
            </w:pPr>
            <w:r w:rsidRPr="003B16E8">
              <w:rPr>
                <w:b/>
              </w:rPr>
              <w:t>In patients with CGS score of &gt;=35, a complication was reported in 22/72 (30.6%)</w:t>
            </w:r>
            <w:r>
              <w:rPr>
                <w:b/>
              </w:rPr>
              <w:t xml:space="preserve">.  For patients with </w:t>
            </w:r>
            <w:proofErr w:type="gramStart"/>
            <w:r>
              <w:rPr>
                <w:b/>
              </w:rPr>
              <w:t>a  CGS</w:t>
            </w:r>
            <w:proofErr w:type="gramEnd"/>
            <w:r>
              <w:rPr>
                <w:b/>
              </w:rPr>
              <w:t xml:space="preserve"> score of &lt;35, a complication rate was 7.0%</w:t>
            </w:r>
          </w:p>
          <w:p w14:paraId="65CFA777" w14:textId="77777777" w:rsidR="00170A27" w:rsidRDefault="00170A27" w:rsidP="000C2BC6"/>
          <w:p w14:paraId="6A5873EB" w14:textId="77777777" w:rsidR="00170A27" w:rsidRDefault="00170A27" w:rsidP="000C2BC6">
            <w:r>
              <w:t>Renal dysfunction</w:t>
            </w:r>
          </w:p>
          <w:p w14:paraId="5E63E998" w14:textId="77777777" w:rsidR="00170A27" w:rsidRDefault="00170A27" w:rsidP="000C2BC6">
            <w:r>
              <w:t>19/129 (14.7%)</w:t>
            </w:r>
          </w:p>
          <w:p w14:paraId="3A054349" w14:textId="77777777" w:rsidR="00170A27" w:rsidRDefault="00170A27" w:rsidP="000C2BC6"/>
          <w:p w14:paraId="76F323E7" w14:textId="77777777" w:rsidR="00170A27" w:rsidRDefault="00170A27" w:rsidP="000C2BC6">
            <w:r>
              <w:t>Cardiac dysfunction (includes patients with cardiac arrest)</w:t>
            </w:r>
          </w:p>
          <w:p w14:paraId="68B553B2" w14:textId="77777777" w:rsidR="00170A27" w:rsidRDefault="00170A27" w:rsidP="000C2BC6">
            <w:r>
              <w:lastRenderedPageBreak/>
              <w:t>7/129 (5.4%)</w:t>
            </w:r>
          </w:p>
          <w:p w14:paraId="0F58BA65" w14:textId="77777777" w:rsidR="00170A27" w:rsidRDefault="00170A27" w:rsidP="000C2BC6"/>
          <w:p w14:paraId="59F3694A" w14:textId="77777777" w:rsidR="00170A27" w:rsidRDefault="00170A27" w:rsidP="000C2BC6">
            <w:r>
              <w:t>DIC</w:t>
            </w:r>
          </w:p>
          <w:p w14:paraId="6A1B295A" w14:textId="77777777" w:rsidR="00170A27" w:rsidRDefault="00170A27" w:rsidP="000C2BC6">
            <w:r>
              <w:t>5/129 (3.9%)</w:t>
            </w:r>
          </w:p>
          <w:p w14:paraId="2F0E49FF" w14:textId="77777777" w:rsidR="00170A27" w:rsidRDefault="00170A27" w:rsidP="000C2BC6"/>
          <w:p w14:paraId="52398F7B" w14:textId="77777777" w:rsidR="00170A27" w:rsidRDefault="00170A27" w:rsidP="000C2BC6">
            <w:proofErr w:type="gramStart"/>
            <w:r>
              <w:t>cardiac</w:t>
            </w:r>
            <w:proofErr w:type="gramEnd"/>
            <w:r>
              <w:t xml:space="preserve"> arrest</w:t>
            </w:r>
          </w:p>
          <w:p w14:paraId="05424558" w14:textId="77777777" w:rsidR="00170A27" w:rsidRDefault="00170A27" w:rsidP="000C2BC6">
            <w:r>
              <w:t>5/129 (3.9%)</w:t>
            </w:r>
          </w:p>
          <w:p w14:paraId="5A6AE469" w14:textId="77777777" w:rsidR="00170A27" w:rsidRDefault="00170A27" w:rsidP="000C2BC6"/>
          <w:p w14:paraId="51C966C3" w14:textId="77777777" w:rsidR="00170A27" w:rsidRDefault="00170A27" w:rsidP="000C2BC6">
            <w:proofErr w:type="gramStart"/>
            <w:r>
              <w:t>pulmonary</w:t>
            </w:r>
            <w:proofErr w:type="gramEnd"/>
            <w:r>
              <w:t xml:space="preserve"> edema</w:t>
            </w:r>
          </w:p>
          <w:p w14:paraId="36781FC8" w14:textId="77777777" w:rsidR="00170A27" w:rsidRDefault="00170A27" w:rsidP="000C2BC6">
            <w:r>
              <w:t>2/129 (1.6%)</w:t>
            </w:r>
          </w:p>
          <w:p w14:paraId="3968066F" w14:textId="77777777" w:rsidR="00170A27" w:rsidRDefault="00170A27" w:rsidP="000C2BC6"/>
          <w:p w14:paraId="66CBB4CD" w14:textId="77777777" w:rsidR="00170A27" w:rsidRDefault="00170A27" w:rsidP="000C2BC6">
            <w:proofErr w:type="gramStart"/>
            <w:r>
              <w:t>compartment</w:t>
            </w:r>
            <w:proofErr w:type="gramEnd"/>
            <w:r>
              <w:t xml:space="preserve"> syndrome</w:t>
            </w:r>
          </w:p>
          <w:p w14:paraId="2FE40C91" w14:textId="77777777" w:rsidR="00170A27" w:rsidRDefault="00170A27" w:rsidP="000C2BC6">
            <w:r>
              <w:t>1/129 (0.8%)</w:t>
            </w:r>
          </w:p>
          <w:p w14:paraId="5AC2E653" w14:textId="77777777" w:rsidR="00170A27" w:rsidRDefault="00170A27" w:rsidP="000C2BC6"/>
          <w:p w14:paraId="020ADB38" w14:textId="77777777" w:rsidR="00170A27" w:rsidRDefault="00170A27" w:rsidP="000C2BC6">
            <w:proofErr w:type="gramStart"/>
            <w:r>
              <w:t>hepatic</w:t>
            </w:r>
            <w:proofErr w:type="gramEnd"/>
            <w:r>
              <w:t xml:space="preserve"> dysfunction not examined because of insufficient data on bilirubin values to analyze hepatic dysfunction since increased transaminase levels may be secondary to </w:t>
            </w:r>
            <w:proofErr w:type="spellStart"/>
            <w:r>
              <w:t>rhabdomyolysis</w:t>
            </w:r>
            <w:proofErr w:type="spellEnd"/>
            <w:r>
              <w:t xml:space="preserve"> alone.</w:t>
            </w:r>
          </w:p>
        </w:tc>
        <w:tc>
          <w:tcPr>
            <w:tcW w:w="0" w:type="auto"/>
          </w:tcPr>
          <w:p w14:paraId="75889762" w14:textId="3A15F448" w:rsidR="00170A27" w:rsidRDefault="00A8555C" w:rsidP="000C2BC6">
            <w:pPr>
              <w:rPr>
                <w:b/>
              </w:rPr>
            </w:pPr>
            <w:r>
              <w:lastRenderedPageBreak/>
              <w:t xml:space="preserve">No data on actual </w:t>
            </w:r>
            <w:proofErr w:type="spellStart"/>
            <w:r>
              <w:t>dantrolene</w:t>
            </w:r>
            <w:proofErr w:type="spellEnd"/>
            <w:r>
              <w:t xml:space="preserve"> dose (often not recorded in the original anesthesia record).  </w:t>
            </w:r>
            <w:r w:rsidR="00170A27" w:rsidRPr="00AB7C44">
              <w:rPr>
                <w:b/>
              </w:rPr>
              <w:t xml:space="preserve">When the time between onset of the first </w:t>
            </w:r>
            <w:r w:rsidR="00170A27" w:rsidRPr="00AB7C44">
              <w:rPr>
                <w:b/>
              </w:rPr>
              <w:lastRenderedPageBreak/>
              <w:t xml:space="preserve">clinical sign and </w:t>
            </w:r>
            <w:proofErr w:type="spellStart"/>
            <w:r w:rsidR="00170A27" w:rsidRPr="00AB7C44">
              <w:rPr>
                <w:b/>
              </w:rPr>
              <w:t>dantrolene</w:t>
            </w:r>
            <w:proofErr w:type="spellEnd"/>
            <w:r w:rsidR="00170A27" w:rsidRPr="00AB7C44">
              <w:rPr>
                <w:b/>
              </w:rPr>
              <w:t xml:space="preserve"> administration was longer, the proportion of patients experiencing a complication was also larger (23.5 minutes vs 15.0 minutes, P=0.005) </w:t>
            </w:r>
          </w:p>
          <w:p w14:paraId="1424729B" w14:textId="77777777" w:rsidR="00170A27" w:rsidRPr="00AB7C44" w:rsidRDefault="00170A27" w:rsidP="000C2BC6">
            <w:pPr>
              <w:rPr>
                <w:b/>
              </w:rPr>
            </w:pPr>
            <w:r>
              <w:rPr>
                <w:b/>
              </w:rPr>
              <w:t>The exact Cochran-</w:t>
            </w:r>
            <w:proofErr w:type="spellStart"/>
            <w:r>
              <w:rPr>
                <w:b/>
              </w:rPr>
              <w:t>Armitrage</w:t>
            </w:r>
            <w:proofErr w:type="spellEnd"/>
            <w:r>
              <w:rPr>
                <w:b/>
              </w:rPr>
              <w:t xml:space="preserve"> trend test shows that complication rate increased with increasing minutes to </w:t>
            </w:r>
            <w:proofErr w:type="spellStart"/>
            <w:r>
              <w:rPr>
                <w:b/>
              </w:rPr>
              <w:t>dantrolene</w:t>
            </w:r>
            <w:proofErr w:type="spellEnd"/>
            <w:r>
              <w:rPr>
                <w:b/>
              </w:rPr>
              <w:t xml:space="preserve"> use, P&lt;0.01.</w:t>
            </w:r>
          </w:p>
          <w:p w14:paraId="554D735B" w14:textId="77777777" w:rsidR="00170A27" w:rsidRDefault="00170A27" w:rsidP="000C2BC6">
            <w:r>
              <w:t xml:space="preserve">Figure 1 (p.385) shows that for each 10-minute delay in administration of </w:t>
            </w:r>
            <w:proofErr w:type="spellStart"/>
            <w:r>
              <w:t>dantrolene</w:t>
            </w:r>
            <w:proofErr w:type="spellEnd"/>
            <w:r>
              <w:t xml:space="preserve">, complications increased </w:t>
            </w:r>
            <w:r>
              <w:lastRenderedPageBreak/>
              <w:t xml:space="preserve">substantially.  </w:t>
            </w:r>
            <w:r w:rsidRPr="00AB7C44">
              <w:rPr>
                <w:b/>
              </w:rPr>
              <w:t xml:space="preserve">When </w:t>
            </w:r>
            <w:proofErr w:type="spellStart"/>
            <w:r w:rsidRPr="00AB7C44">
              <w:rPr>
                <w:b/>
              </w:rPr>
              <w:t>dantrolene</w:t>
            </w:r>
            <w:proofErr w:type="spellEnd"/>
            <w:r w:rsidRPr="00AB7C44">
              <w:rPr>
                <w:b/>
              </w:rPr>
              <w:t xml:space="preserve"> administration was delayed beyond 50 minutes, complication rates increased to 100%.</w:t>
            </w:r>
          </w:p>
        </w:tc>
        <w:tc>
          <w:tcPr>
            <w:tcW w:w="0" w:type="auto"/>
          </w:tcPr>
          <w:p w14:paraId="174F5C1A" w14:textId="6C8C36F3" w:rsidR="00170A27" w:rsidRDefault="00170A27" w:rsidP="000C2BC6">
            <w:r>
              <w:lastRenderedPageBreak/>
              <w:t xml:space="preserve">Surviving </w:t>
            </w:r>
            <w:proofErr w:type="spellStart"/>
            <w:r>
              <w:t>probands</w:t>
            </w:r>
            <w:proofErr w:type="spellEnd"/>
            <w:r>
              <w:t xml:space="preserve"> referred to Toronto General from 1992 to 2011 with dx of MH</w:t>
            </w:r>
            <w:r w:rsidR="00063C99">
              <w:t xml:space="preserve"> </w:t>
            </w:r>
            <w:proofErr w:type="gramStart"/>
            <w:r w:rsidR="00063C99">
              <w:t xml:space="preserve">susceptible  </w:t>
            </w:r>
            <w:r w:rsidR="00063C99">
              <w:lastRenderedPageBreak/>
              <w:t>by</w:t>
            </w:r>
            <w:proofErr w:type="gramEnd"/>
            <w:r w:rsidR="00063C99">
              <w:t xml:space="preserve"> contracture testing</w:t>
            </w:r>
            <w:r>
              <w:t xml:space="preserve"> and anesthesia records.  </w:t>
            </w:r>
          </w:p>
        </w:tc>
        <w:tc>
          <w:tcPr>
            <w:tcW w:w="0" w:type="auto"/>
          </w:tcPr>
          <w:p w14:paraId="5A8D1674" w14:textId="77777777" w:rsidR="00170A27" w:rsidRDefault="0048428D" w:rsidP="000C2BC6">
            <w:r>
              <w:lastRenderedPageBreak/>
              <w:t>3</w:t>
            </w:r>
          </w:p>
        </w:tc>
        <w:tc>
          <w:tcPr>
            <w:tcW w:w="0" w:type="auto"/>
          </w:tcPr>
          <w:p w14:paraId="71A34524" w14:textId="77777777" w:rsidR="00170A27" w:rsidRDefault="00170A27" w:rsidP="000C2BC6">
            <w:r>
              <w:t xml:space="preserve">Data availability:  </w:t>
            </w:r>
            <w:r w:rsidR="004C0939">
              <w:t xml:space="preserve">specific </w:t>
            </w:r>
            <w:proofErr w:type="spellStart"/>
            <w:r w:rsidR="004C0939">
              <w:t>dantrolene</w:t>
            </w:r>
            <w:proofErr w:type="spellEnd"/>
            <w:r w:rsidR="004C0939">
              <w:t xml:space="preserve"> dose</w:t>
            </w:r>
            <w:r>
              <w:t xml:space="preserve"> (amount) and type of temperature </w:t>
            </w:r>
            <w:r>
              <w:lastRenderedPageBreak/>
              <w:t>monitoring were lacking for majority of anesthetic records.</w:t>
            </w:r>
          </w:p>
          <w:p w14:paraId="1FA07097" w14:textId="2E18D23E" w:rsidR="00170A27" w:rsidRDefault="00170A27" w:rsidP="000C2BC6">
            <w:r>
              <w:t>Selection bia</w:t>
            </w:r>
            <w:r w:rsidR="00063C99">
              <w:t xml:space="preserve">s-had to survive to be referred for contracture testing. </w:t>
            </w:r>
          </w:p>
          <w:p w14:paraId="690C03BB" w14:textId="77777777" w:rsidR="00170A27" w:rsidRDefault="00170A27" w:rsidP="000C2BC6">
            <w:r>
              <w:t>Varying severity of MH events but subgroup analysis helps correct this.</w:t>
            </w:r>
          </w:p>
        </w:tc>
        <w:tc>
          <w:tcPr>
            <w:tcW w:w="1814" w:type="dxa"/>
          </w:tcPr>
          <w:p w14:paraId="0CF80397" w14:textId="77777777" w:rsidR="00170A27" w:rsidRDefault="00170A27" w:rsidP="000C2BC6">
            <w:r>
              <w:lastRenderedPageBreak/>
              <w:t>This dataset does not overlap with other references.  Canadian patients only.</w:t>
            </w:r>
          </w:p>
          <w:p w14:paraId="21AE657D" w14:textId="77777777" w:rsidR="00170A27" w:rsidRDefault="00170A27" w:rsidP="000C2BC6"/>
          <w:p w14:paraId="3A7837A4" w14:textId="77777777" w:rsidR="00170A27" w:rsidRDefault="00170A27" w:rsidP="000C2BC6"/>
        </w:tc>
      </w:tr>
      <w:tr w:rsidR="00063C99" w14:paraId="7E3AFEAA" w14:textId="77777777" w:rsidTr="000C2BC6">
        <w:tc>
          <w:tcPr>
            <w:tcW w:w="0" w:type="auto"/>
          </w:tcPr>
          <w:p w14:paraId="343E4C72" w14:textId="77777777" w:rsidR="00170A27" w:rsidRDefault="00F1544D" w:rsidP="000C2BC6">
            <w:r>
              <w:lastRenderedPageBreak/>
              <w:t>5</w:t>
            </w:r>
            <w:r w:rsidR="00170A27">
              <w:t xml:space="preserve">.  Larach MG, </w:t>
            </w:r>
            <w:proofErr w:type="spellStart"/>
            <w:r w:rsidR="00170A27">
              <w:lastRenderedPageBreak/>
              <w:t>Brandom</w:t>
            </w:r>
            <w:proofErr w:type="spellEnd"/>
            <w:r w:rsidR="00170A27">
              <w:t xml:space="preserve"> BW, Allen GC, Gronert GA, Lehman EV:  Malignant hyperthermia deaths related to inadequate temperature monitoring, 2007-2012:  a report from the North American Malignant Hyperthermia Registry of the Malignant Hyperthermia Association of the United States. </w:t>
            </w:r>
            <w:proofErr w:type="spellStart"/>
            <w:r w:rsidR="00170A27">
              <w:t>Anesth</w:t>
            </w:r>
            <w:proofErr w:type="spellEnd"/>
            <w:r w:rsidR="00170A27">
              <w:t xml:space="preserve"> Analg 2014; 119:1359-66 (Other:  NAMHR of MHAUS dataset) </w:t>
            </w:r>
          </w:p>
        </w:tc>
        <w:tc>
          <w:tcPr>
            <w:tcW w:w="0" w:type="auto"/>
          </w:tcPr>
          <w:p w14:paraId="5507834F" w14:textId="77777777" w:rsidR="00170A27" w:rsidRDefault="00170A27" w:rsidP="000C2BC6">
            <w:r>
              <w:lastRenderedPageBreak/>
              <w:t xml:space="preserve">31/84 or 36.9% </w:t>
            </w:r>
            <w:r>
              <w:lastRenderedPageBreak/>
              <w:t xml:space="preserve">complication rate </w:t>
            </w:r>
          </w:p>
          <w:p w14:paraId="1C455BFF" w14:textId="77777777" w:rsidR="00170A27" w:rsidRDefault="00170A27" w:rsidP="000C2BC6"/>
          <w:p w14:paraId="2BE70780" w14:textId="77777777" w:rsidR="00170A27" w:rsidRDefault="00170A27" w:rsidP="000C2BC6">
            <w:r>
              <w:t xml:space="preserve">Cardiac dysfunction </w:t>
            </w:r>
          </w:p>
          <w:p w14:paraId="59178660" w14:textId="77777777" w:rsidR="00170A27" w:rsidRDefault="00170A27" w:rsidP="000C2BC6">
            <w:r>
              <w:t>11/84 (13.1%)</w:t>
            </w:r>
          </w:p>
          <w:p w14:paraId="768AF8A6" w14:textId="77777777" w:rsidR="00170A27" w:rsidRDefault="00170A27" w:rsidP="000C2BC6"/>
          <w:p w14:paraId="4C71E819" w14:textId="77777777" w:rsidR="00170A27" w:rsidRDefault="00170A27" w:rsidP="000C2BC6">
            <w:r>
              <w:t>Renal dysfunction</w:t>
            </w:r>
          </w:p>
          <w:p w14:paraId="48E1E138" w14:textId="77777777" w:rsidR="00170A27" w:rsidRDefault="00170A27" w:rsidP="000C2BC6">
            <w:r>
              <w:t>10/84 (11.9%)</w:t>
            </w:r>
          </w:p>
          <w:p w14:paraId="1C8A0EE4" w14:textId="77777777" w:rsidR="00170A27" w:rsidRDefault="00170A27" w:rsidP="000C2BC6"/>
          <w:p w14:paraId="776A09BB" w14:textId="77777777" w:rsidR="00170A27" w:rsidRDefault="00170A27" w:rsidP="000C2BC6">
            <w:r>
              <w:t>Consciousness level change/coma</w:t>
            </w:r>
          </w:p>
          <w:p w14:paraId="3A044105" w14:textId="77777777" w:rsidR="00170A27" w:rsidRDefault="00170A27" w:rsidP="000C2BC6">
            <w:r>
              <w:t>8/84 (9.5%)</w:t>
            </w:r>
          </w:p>
          <w:p w14:paraId="503F40D8" w14:textId="77777777" w:rsidR="00170A27" w:rsidRDefault="00170A27" w:rsidP="000C2BC6"/>
          <w:p w14:paraId="25A78B1E" w14:textId="77777777" w:rsidR="00170A27" w:rsidRDefault="00170A27" w:rsidP="000C2BC6">
            <w:r>
              <w:t>Pulmonary edema</w:t>
            </w:r>
          </w:p>
          <w:p w14:paraId="2790BFE9" w14:textId="77777777" w:rsidR="00170A27" w:rsidRDefault="00170A27" w:rsidP="000C2BC6">
            <w:r>
              <w:t>6/84 (7.1%)</w:t>
            </w:r>
          </w:p>
          <w:p w14:paraId="771F2874" w14:textId="77777777" w:rsidR="00170A27" w:rsidRDefault="00170A27" w:rsidP="000C2BC6"/>
          <w:p w14:paraId="015FF00B" w14:textId="77777777" w:rsidR="00170A27" w:rsidRDefault="00170A27" w:rsidP="000C2BC6">
            <w:r>
              <w:t>DIC*</w:t>
            </w:r>
          </w:p>
          <w:p w14:paraId="588879E3" w14:textId="77777777" w:rsidR="00170A27" w:rsidRDefault="00170A27" w:rsidP="000C2BC6">
            <w:r>
              <w:t>6/84 (7.1%)</w:t>
            </w:r>
          </w:p>
          <w:p w14:paraId="06B8D389" w14:textId="77777777" w:rsidR="00170A27" w:rsidRDefault="00170A27" w:rsidP="000C2BC6"/>
          <w:p w14:paraId="7B97D415" w14:textId="77777777" w:rsidR="00170A27" w:rsidRDefault="00170A27" w:rsidP="000C2BC6">
            <w:r>
              <w:t>Hepatic dysfunction</w:t>
            </w:r>
          </w:p>
          <w:p w14:paraId="0AB01501" w14:textId="77777777" w:rsidR="00170A27" w:rsidRDefault="00170A27" w:rsidP="000C2BC6">
            <w:r>
              <w:t>4/84 (4.8%)</w:t>
            </w:r>
          </w:p>
          <w:p w14:paraId="20228615" w14:textId="77777777" w:rsidR="00170A27" w:rsidRDefault="00170A27" w:rsidP="000C2BC6"/>
          <w:p w14:paraId="677E8860" w14:textId="77777777" w:rsidR="00170A27" w:rsidRDefault="00170A27" w:rsidP="000C2BC6">
            <w:r>
              <w:t>Other</w:t>
            </w:r>
          </w:p>
          <w:p w14:paraId="7C42C647" w14:textId="77777777" w:rsidR="00170A27" w:rsidRDefault="00170A27" w:rsidP="000C2BC6">
            <w:proofErr w:type="gramStart"/>
            <w:r>
              <w:t>compartment</w:t>
            </w:r>
            <w:proofErr w:type="gramEnd"/>
            <w:r>
              <w:t xml:space="preserve"> syndrome</w:t>
            </w:r>
          </w:p>
          <w:p w14:paraId="28BD9837" w14:textId="77777777" w:rsidR="00170A27" w:rsidRDefault="00170A27" w:rsidP="000C2BC6">
            <w:r>
              <w:t>1/84 (1.2%)</w:t>
            </w:r>
          </w:p>
          <w:p w14:paraId="0C854ABA" w14:textId="77777777" w:rsidR="00170A27" w:rsidRDefault="00170A27" w:rsidP="000C2BC6">
            <w:proofErr w:type="gramStart"/>
            <w:r>
              <w:t>pleural</w:t>
            </w:r>
            <w:proofErr w:type="gramEnd"/>
            <w:r>
              <w:t xml:space="preserve"> effusions</w:t>
            </w:r>
          </w:p>
          <w:p w14:paraId="709085C1" w14:textId="77777777" w:rsidR="00170A27" w:rsidRDefault="00170A27" w:rsidP="000C2BC6">
            <w:r>
              <w:t>1/84 (1.2%)</w:t>
            </w:r>
          </w:p>
          <w:p w14:paraId="73682230" w14:textId="77777777" w:rsidR="00170A27" w:rsidRDefault="00170A27" w:rsidP="000C2BC6"/>
          <w:p w14:paraId="7CF48CFC" w14:textId="77777777" w:rsidR="00170A27" w:rsidRDefault="00170A27" w:rsidP="000C2BC6">
            <w:r>
              <w:t>No temperature probe or a skin temperature probe increased the likelihood of DIC P value 0.01, Odds ratio with 95% CI 12.4 (2.2, infinity)</w:t>
            </w:r>
          </w:p>
          <w:p w14:paraId="4CD1A1FF" w14:textId="77777777" w:rsidR="00170A27" w:rsidRDefault="00170A27" w:rsidP="000C2BC6"/>
          <w:p w14:paraId="2140969F" w14:textId="77777777" w:rsidR="00170A27" w:rsidRDefault="00170A27" w:rsidP="000C2BC6">
            <w:r>
              <w:t>Recrudescence</w:t>
            </w:r>
          </w:p>
          <w:p w14:paraId="45DF0337" w14:textId="77777777" w:rsidR="00170A27" w:rsidRDefault="00170A27" w:rsidP="000C2BC6">
            <w:r>
              <w:t>12/84 (16.4%)</w:t>
            </w:r>
          </w:p>
          <w:p w14:paraId="178B2A54" w14:textId="77777777" w:rsidR="00170A27" w:rsidRDefault="00170A27" w:rsidP="000C2BC6"/>
        </w:tc>
        <w:tc>
          <w:tcPr>
            <w:tcW w:w="0" w:type="auto"/>
          </w:tcPr>
          <w:p w14:paraId="50E387B8" w14:textId="3CB0E9BE" w:rsidR="00170A27" w:rsidRDefault="00170A27" w:rsidP="000C2BC6">
            <w:r>
              <w:lastRenderedPageBreak/>
              <w:t xml:space="preserve">Not published and </w:t>
            </w:r>
            <w:r>
              <w:lastRenderedPageBreak/>
              <w:t xml:space="preserve">untested for significant difference.  Initial dose of </w:t>
            </w:r>
            <w:proofErr w:type="spellStart"/>
            <w:r>
              <w:t>dantrolene</w:t>
            </w:r>
            <w:proofErr w:type="spellEnd"/>
            <w:r>
              <w:t xml:space="preserve"> available for 74 of 84 in total dataset.  Median of 2.46 mg/kg (180 mg) with lowe</w:t>
            </w:r>
            <w:r w:rsidR="00737061">
              <w:t>r quartile of 2.01 mg/kg (100</w:t>
            </w:r>
            <w:r>
              <w:t xml:space="preserve"> mg) and upper </w:t>
            </w:r>
            <w:r w:rsidR="00737061">
              <w:t>quartile of 2.61 mg/kg  (240 mg) with minimum of 0.16 (12</w:t>
            </w:r>
            <w:r>
              <w:t>mg) an</w:t>
            </w:r>
            <w:r w:rsidR="00737061">
              <w:t>d maximum of 10.15 mg/kg (660</w:t>
            </w:r>
            <w:r>
              <w:t xml:space="preserve"> mg). </w:t>
            </w:r>
          </w:p>
          <w:p w14:paraId="43DA8851" w14:textId="06D12914" w:rsidR="004C0939" w:rsidRDefault="004C0939" w:rsidP="00C559B2">
            <w:r>
              <w:t xml:space="preserve">Total dose </w:t>
            </w:r>
            <w:proofErr w:type="spellStart"/>
            <w:r>
              <w:t>dantrolene</w:t>
            </w:r>
            <w:proofErr w:type="spellEnd"/>
            <w:r>
              <w:t xml:space="preserve"> available for 59 of 84 in d</w:t>
            </w:r>
            <w:r w:rsidR="00737061">
              <w:t>ataset.  Median of 7.0 mg/kg [467 mg</w:t>
            </w:r>
            <w:r>
              <w:t xml:space="preserve">] with lower quartile of 3.00 mg/kg </w:t>
            </w:r>
            <w:r w:rsidR="00737061">
              <w:t xml:space="preserve">[180mg] </w:t>
            </w:r>
            <w:r>
              <w:t>and upper quartile of 10.00 mg/kg</w:t>
            </w:r>
            <w:r w:rsidR="00737061">
              <w:t xml:space="preserve"> [810 mg]</w:t>
            </w:r>
            <w:r>
              <w:t xml:space="preserve">.  Range </w:t>
            </w:r>
            <w:r>
              <w:lastRenderedPageBreak/>
              <w:t xml:space="preserve">1.01 mg/kg </w:t>
            </w:r>
            <w:r w:rsidR="00737061">
              <w:t xml:space="preserve">[48 mg] </w:t>
            </w:r>
            <w:r>
              <w:t>to 16.71 mg/kg</w:t>
            </w:r>
            <w:r w:rsidR="00737061">
              <w:t xml:space="preserve"> [1700 mg]</w:t>
            </w:r>
            <w:r w:rsidR="00C559B2">
              <w:t>.   (Personal communication from Erik B. Lehman, M.S., Department of Public Health Sciences, Penn State College of Medicine, Hershey, Pennsylvania, to M G Larach on February 7, 2014 from this dataset analysis.)</w:t>
            </w:r>
          </w:p>
        </w:tc>
        <w:tc>
          <w:tcPr>
            <w:tcW w:w="0" w:type="auto"/>
          </w:tcPr>
          <w:p w14:paraId="31AC6989" w14:textId="77777777" w:rsidR="00170A27" w:rsidRDefault="00170A27" w:rsidP="000C2BC6">
            <w:r>
              <w:lastRenderedPageBreak/>
              <w:t>‘</w:t>
            </w:r>
            <w:proofErr w:type="gramStart"/>
            <w:r>
              <w:t>very</w:t>
            </w:r>
            <w:proofErr w:type="gramEnd"/>
            <w:r>
              <w:t xml:space="preserve"> likely’ or </w:t>
            </w:r>
            <w:r>
              <w:lastRenderedPageBreak/>
              <w:t>‘almost certain’ MH event</w:t>
            </w:r>
          </w:p>
        </w:tc>
        <w:tc>
          <w:tcPr>
            <w:tcW w:w="0" w:type="auto"/>
          </w:tcPr>
          <w:p w14:paraId="3E598C01" w14:textId="77777777" w:rsidR="00170A27" w:rsidRDefault="00170A27" w:rsidP="000C2BC6">
            <w:r>
              <w:lastRenderedPageBreak/>
              <w:t xml:space="preserve">Not </w:t>
            </w:r>
            <w:r>
              <w:lastRenderedPageBreak/>
              <w:t>applicable</w:t>
            </w:r>
          </w:p>
        </w:tc>
        <w:tc>
          <w:tcPr>
            <w:tcW w:w="0" w:type="auto"/>
          </w:tcPr>
          <w:p w14:paraId="0C5CD709" w14:textId="09465830" w:rsidR="00170A27" w:rsidRDefault="00170A27" w:rsidP="000C2BC6">
            <w:r>
              <w:lastRenderedPageBreak/>
              <w:t xml:space="preserve">NAMHR data </w:t>
            </w:r>
            <w:r>
              <w:lastRenderedPageBreak/>
              <w:t xml:space="preserve">for AMRAs received from 1/1/2007 through 12/31/2012 Reporting and recall bias; selection bias </w:t>
            </w:r>
          </w:p>
          <w:p w14:paraId="60B2317C" w14:textId="77777777" w:rsidR="00170A27" w:rsidRDefault="00170A27" w:rsidP="000C2BC6">
            <w:r>
              <w:t>Not classic case control study and confounding is present;</w:t>
            </w:r>
          </w:p>
          <w:p w14:paraId="2F214B3F" w14:textId="77777777" w:rsidR="00170A27" w:rsidRDefault="00170A27" w:rsidP="000C2BC6">
            <w:r>
              <w:t>“</w:t>
            </w:r>
            <w:proofErr w:type="gramStart"/>
            <w:r>
              <w:t>associations</w:t>
            </w:r>
            <w:proofErr w:type="gramEnd"/>
            <w:r>
              <w:t xml:space="preserve"> do not imply causation”</w:t>
            </w:r>
          </w:p>
          <w:p w14:paraId="2B508AA0" w14:textId="77777777" w:rsidR="00170A27" w:rsidRDefault="00170A27" w:rsidP="000C2BC6"/>
        </w:tc>
        <w:tc>
          <w:tcPr>
            <w:tcW w:w="1814" w:type="dxa"/>
          </w:tcPr>
          <w:p w14:paraId="4BE2F4B1" w14:textId="416E0A29" w:rsidR="00170A27" w:rsidRDefault="00170A27" w:rsidP="000C2BC6">
            <w:r>
              <w:lastRenderedPageBreak/>
              <w:t xml:space="preserve">Not published </w:t>
            </w:r>
            <w:r>
              <w:lastRenderedPageBreak/>
              <w:t>as part of a paper</w:t>
            </w:r>
            <w:r w:rsidR="001E11E2">
              <w:t xml:space="preserve"> but drawn from analysis of the dataset for this paper.</w:t>
            </w:r>
            <w:r>
              <w:t xml:space="preserve">   </w:t>
            </w:r>
          </w:p>
          <w:p w14:paraId="5CD1F899" w14:textId="77777777" w:rsidR="00170A27" w:rsidRDefault="00170A27" w:rsidP="000C2BC6">
            <w:r>
              <w:t>Personal communication from M.G. Larach on June 12, 2016.  Based on reporting of individual completing AMRA.  Usually no hospital charts available to review.</w:t>
            </w:r>
          </w:p>
        </w:tc>
      </w:tr>
      <w:tr w:rsidR="00063C99" w14:paraId="20938DD0" w14:textId="77777777" w:rsidTr="000C2BC6">
        <w:tc>
          <w:tcPr>
            <w:tcW w:w="0" w:type="auto"/>
          </w:tcPr>
          <w:p w14:paraId="3848ADFA" w14:textId="77777777" w:rsidR="00170A27" w:rsidRPr="0043452E" w:rsidRDefault="00170A27" w:rsidP="000C2BC6">
            <w:pPr>
              <w:rPr>
                <w:b/>
              </w:rPr>
            </w:pPr>
            <w:r w:rsidRPr="0043452E">
              <w:rPr>
                <w:b/>
              </w:rPr>
              <w:lastRenderedPageBreak/>
              <w:t>Summary</w:t>
            </w:r>
          </w:p>
          <w:p w14:paraId="57473127" w14:textId="77777777" w:rsidR="00170A27" w:rsidRDefault="00170A27" w:rsidP="000C2BC6">
            <w:r>
              <w:t xml:space="preserve">References </w:t>
            </w:r>
          </w:p>
          <w:p w14:paraId="61357D22" w14:textId="77777777" w:rsidR="00170A27" w:rsidRDefault="00170A27" w:rsidP="000C2BC6"/>
          <w:p w14:paraId="5C0E64A1" w14:textId="77777777" w:rsidR="00170A27" w:rsidRDefault="00F1544D" w:rsidP="000C2BC6">
            <w:r>
              <w:t>All but reference #4</w:t>
            </w:r>
            <w:r w:rsidR="00170A27">
              <w:t xml:space="preserve"> being drawn from t</w:t>
            </w:r>
            <w:r>
              <w:t>he NAMHR database.   Reference#4</w:t>
            </w:r>
            <w:r w:rsidR="00170A27">
              <w:t>: no overlap of events with the other references and has</w:t>
            </w:r>
            <w:r w:rsidR="00251F2A">
              <w:t xml:space="preserve"> both CGS </w:t>
            </w:r>
            <w:r w:rsidR="00251F2A">
              <w:lastRenderedPageBreak/>
              <w:t>score with CH</w:t>
            </w:r>
            <w:r w:rsidR="00170A27">
              <w:t xml:space="preserve">CT confirmation. </w:t>
            </w:r>
          </w:p>
        </w:tc>
        <w:tc>
          <w:tcPr>
            <w:tcW w:w="0" w:type="auto"/>
          </w:tcPr>
          <w:p w14:paraId="2F37682E" w14:textId="77777777" w:rsidR="00170A27" w:rsidRDefault="00170A27" w:rsidP="000C2BC6"/>
          <w:p w14:paraId="7BA47191" w14:textId="77777777" w:rsidR="00170A27" w:rsidRDefault="00170A27" w:rsidP="000C2BC6">
            <w:r>
              <w:t>Morbidity type/percentage</w:t>
            </w:r>
          </w:p>
          <w:p w14:paraId="6EA5C51A" w14:textId="77777777" w:rsidR="00170A27" w:rsidRDefault="00170A27" w:rsidP="000C2BC6"/>
          <w:p w14:paraId="68877958" w14:textId="57BE849F" w:rsidR="00170A27" w:rsidRDefault="001E11E2" w:rsidP="000C2BC6">
            <w:r>
              <w:t>Ref #1</w:t>
            </w:r>
            <w:r w:rsidR="00170A27">
              <w:t>:  n=308</w:t>
            </w:r>
          </w:p>
          <w:p w14:paraId="30470B66" w14:textId="77777777" w:rsidR="00170A27" w:rsidRDefault="00170A27" w:rsidP="000C2BC6">
            <w:r w:rsidRPr="00DA7E7E">
              <w:rPr>
                <w:b/>
              </w:rPr>
              <w:t>16%</w:t>
            </w:r>
            <w:r>
              <w:t xml:space="preserve"> postoperative organ failure when D4-6 MH events analyzed</w:t>
            </w:r>
          </w:p>
          <w:p w14:paraId="308D0725" w14:textId="77777777" w:rsidR="00170A27" w:rsidRDefault="00170A27" w:rsidP="000C2BC6"/>
          <w:p w14:paraId="2D57EE09" w14:textId="70CCA703" w:rsidR="00170A27" w:rsidRDefault="001E11E2" w:rsidP="000C2BC6">
            <w:r>
              <w:t>Ref#2</w:t>
            </w:r>
            <w:r w:rsidR="00170A27">
              <w:t>:  n=181</w:t>
            </w:r>
          </w:p>
          <w:p w14:paraId="21538FB6" w14:textId="77777777" w:rsidR="00170A27" w:rsidRDefault="00170A27" w:rsidP="000C2BC6">
            <w:r w:rsidRPr="00DA7E7E">
              <w:rPr>
                <w:b/>
              </w:rPr>
              <w:lastRenderedPageBreak/>
              <w:t xml:space="preserve">34.8% </w:t>
            </w:r>
            <w:r>
              <w:t>complications when D5-D6 events 1987-2006</w:t>
            </w:r>
          </w:p>
          <w:p w14:paraId="1DBCF4B0" w14:textId="77777777" w:rsidR="00170A27" w:rsidRDefault="00170A27" w:rsidP="000C2BC6"/>
          <w:p w14:paraId="7503C6EC" w14:textId="29EEBC64" w:rsidR="00170A27" w:rsidRDefault="00A44093" w:rsidP="000C2BC6">
            <w:r>
              <w:t>Ref#5 unpublished data</w:t>
            </w:r>
            <w:r w:rsidR="00170A27">
              <w:t xml:space="preserve">:  </w:t>
            </w:r>
            <w:r w:rsidR="00170A27" w:rsidRPr="0090137A">
              <w:rPr>
                <w:b/>
              </w:rPr>
              <w:t>36.9%</w:t>
            </w:r>
            <w:r w:rsidR="00170A27">
              <w:t xml:space="preserve"> same analysis but D5-D6 events from 2007-2012</w:t>
            </w:r>
          </w:p>
          <w:p w14:paraId="2CF33469" w14:textId="77777777" w:rsidR="00170A27" w:rsidRDefault="00170A27" w:rsidP="000C2BC6"/>
          <w:p w14:paraId="092E708C" w14:textId="2CF60CCA" w:rsidR="00170A27" w:rsidRDefault="001E11E2" w:rsidP="000C2BC6">
            <w:r>
              <w:t>Ref#4</w:t>
            </w:r>
            <w:r w:rsidR="00170A27">
              <w:t>:  n=129</w:t>
            </w:r>
          </w:p>
          <w:p w14:paraId="55A05A83" w14:textId="77777777" w:rsidR="00170A27" w:rsidRDefault="00170A27" w:rsidP="000C2BC6">
            <w:r w:rsidRPr="0090137A">
              <w:rPr>
                <w:b/>
              </w:rPr>
              <w:t>20.2%</w:t>
            </w:r>
            <w:r>
              <w:t xml:space="preserve"> but increases to </w:t>
            </w:r>
            <w:r w:rsidRPr="0090137A">
              <w:rPr>
                <w:b/>
              </w:rPr>
              <w:t>30.6%</w:t>
            </w:r>
            <w:r>
              <w:t xml:space="preserve"> when only D5 and D6 events included in the analysis of patients who were all CHCT+.    CHCT between 1992 to 2011 and referred to Toronto General</w:t>
            </w:r>
          </w:p>
          <w:p w14:paraId="03BD4183" w14:textId="77777777" w:rsidR="00170A27" w:rsidRDefault="00170A27" w:rsidP="000C2BC6"/>
          <w:p w14:paraId="0E8703FA" w14:textId="77777777" w:rsidR="00170A27" w:rsidRDefault="00170A27" w:rsidP="000C2BC6"/>
          <w:p w14:paraId="6CB048F0" w14:textId="77777777" w:rsidR="00170A27" w:rsidRDefault="00170A27" w:rsidP="000C2BC6">
            <w:r>
              <w:t xml:space="preserve">Overall:  The more severe the event, the higher </w:t>
            </w:r>
            <w:r>
              <w:lastRenderedPageBreak/>
              <w:t>the morbidity rate.  Reference #4 and #11-Other demonstrate that complication rate consistent in spite of different time periods.</w:t>
            </w:r>
          </w:p>
        </w:tc>
        <w:tc>
          <w:tcPr>
            <w:tcW w:w="0" w:type="auto"/>
          </w:tcPr>
          <w:p w14:paraId="41EB0517" w14:textId="77777777" w:rsidR="00170A27" w:rsidRDefault="00170A27" w:rsidP="000C2BC6"/>
          <w:p w14:paraId="702F1E64" w14:textId="77777777" w:rsidR="00170A27" w:rsidRDefault="00170A27" w:rsidP="000C2BC6">
            <w:proofErr w:type="spellStart"/>
            <w:r>
              <w:t>Dantrolene</w:t>
            </w:r>
            <w:proofErr w:type="spellEnd"/>
          </w:p>
          <w:p w14:paraId="5AADD6C4" w14:textId="77777777" w:rsidR="00170A27" w:rsidRDefault="00170A27" w:rsidP="000C2BC6"/>
          <w:p w14:paraId="5A150188" w14:textId="23E18333" w:rsidR="00170A27" w:rsidRDefault="00A44093" w:rsidP="000C2BC6">
            <w:r>
              <w:t>Ref#2</w:t>
            </w:r>
            <w:r w:rsidR="00170A27">
              <w:t xml:space="preserve">:  Unpublished data:  </w:t>
            </w:r>
            <w:r w:rsidR="00170A27" w:rsidRPr="00223A05">
              <w:t xml:space="preserve">Amount of initial </w:t>
            </w:r>
            <w:proofErr w:type="spellStart"/>
            <w:r w:rsidR="00170A27" w:rsidRPr="00223A05">
              <w:t>dantrolene</w:t>
            </w:r>
            <w:proofErr w:type="spellEnd"/>
            <w:r w:rsidR="00170A27" w:rsidRPr="00223A05">
              <w:t xml:space="preserve"> dose was examined and was not found to be significant for model analyzing likelihood of </w:t>
            </w:r>
            <w:r w:rsidR="00170A27" w:rsidRPr="00223A05">
              <w:lastRenderedPageBreak/>
              <w:t xml:space="preserve">complications (odds ratio 1.13 (95% CI 0.96,1.33) P=1.000.   For group not experiencing complications the median initial </w:t>
            </w:r>
            <w:proofErr w:type="spellStart"/>
            <w:r w:rsidR="00170A27" w:rsidRPr="00223A05">
              <w:t>dantrolene</w:t>
            </w:r>
            <w:proofErr w:type="spellEnd"/>
            <w:r w:rsidR="00170A27" w:rsidRPr="00223A05">
              <w:t xml:space="preserve"> dose was 2.31 (1.47, 2.67) mg/kg and for the group experiencing complications, the median initial dose of </w:t>
            </w:r>
            <w:proofErr w:type="spellStart"/>
            <w:r w:rsidR="00170A27" w:rsidRPr="00223A05">
              <w:t>dantrolene</w:t>
            </w:r>
            <w:proofErr w:type="spellEnd"/>
            <w:r w:rsidR="00170A27" w:rsidRPr="00223A05">
              <w:t xml:space="preserve"> was 2.48 (2.00, 2.89) mg/kg</w:t>
            </w:r>
            <w:r w:rsidR="00170A27">
              <w:rPr>
                <w:b/>
              </w:rPr>
              <w:t xml:space="preserve"> </w:t>
            </w:r>
          </w:p>
          <w:p w14:paraId="0DFBDECE" w14:textId="77777777" w:rsidR="00A44093" w:rsidRDefault="00A44093" w:rsidP="000C2BC6"/>
          <w:p w14:paraId="72E8A08F" w14:textId="60640736" w:rsidR="00170A27" w:rsidRDefault="00A44093" w:rsidP="000C2BC6">
            <w:r>
              <w:t>Ref#2</w:t>
            </w:r>
            <w:r w:rsidR="00170A27">
              <w:t>:  The likelihood of a MH complication increased 1.61 (1.16-2.25) times for every 30-minute increase in time tween the first MH sign and the 1</w:t>
            </w:r>
            <w:r w:rsidR="00170A27" w:rsidRPr="0043452E">
              <w:rPr>
                <w:vertAlign w:val="superscript"/>
              </w:rPr>
              <w:t>st</w:t>
            </w:r>
            <w:r w:rsidR="00170A27">
              <w:t xml:space="preserve"> </w:t>
            </w:r>
            <w:proofErr w:type="spellStart"/>
            <w:r w:rsidR="00170A27">
              <w:t>dantrolene</w:t>
            </w:r>
            <w:proofErr w:type="spellEnd"/>
            <w:r w:rsidR="00170A27">
              <w:t xml:space="preserve"> dose</w:t>
            </w:r>
            <w:r w:rsidR="00170A27" w:rsidRPr="009F1600">
              <w:rPr>
                <w:b/>
              </w:rPr>
              <w:t xml:space="preserve"> </w:t>
            </w:r>
            <w:r w:rsidR="00170A27" w:rsidRPr="009F1600">
              <w:t xml:space="preserve">Amount of </w:t>
            </w:r>
            <w:r w:rsidR="00170A27" w:rsidRPr="009F1600">
              <w:lastRenderedPageBreak/>
              <w:t xml:space="preserve">initial </w:t>
            </w:r>
            <w:proofErr w:type="spellStart"/>
            <w:r w:rsidR="00170A27" w:rsidRPr="009F1600">
              <w:t>dantrolene</w:t>
            </w:r>
            <w:proofErr w:type="spellEnd"/>
            <w:r w:rsidR="00170A27" w:rsidRPr="009F1600">
              <w:t xml:space="preserve"> dose was examined and was not found to be significant for model (odds ratio 1.13 (95% CI 0.96,1.33) P=1.000.</w:t>
            </w:r>
            <w:r w:rsidR="00170A27">
              <w:rPr>
                <w:b/>
              </w:rPr>
              <w:t xml:space="preserve"> </w:t>
            </w:r>
          </w:p>
          <w:p w14:paraId="61648C34" w14:textId="77777777" w:rsidR="00170A27" w:rsidRDefault="00170A27" w:rsidP="000C2BC6"/>
          <w:p w14:paraId="69638346" w14:textId="77777777" w:rsidR="00170A27" w:rsidRDefault="00170A27" w:rsidP="000C2BC6"/>
          <w:p w14:paraId="29B01336" w14:textId="4F8A76C9" w:rsidR="00170A27" w:rsidRDefault="00170A27" w:rsidP="000C2BC6">
            <w:r>
              <w:t>Ref</w:t>
            </w:r>
            <w:r w:rsidR="00A44093">
              <w:t>#4</w:t>
            </w:r>
            <w:r>
              <w:t xml:space="preserve">:  Complication rate increased with increasing minutes to </w:t>
            </w:r>
            <w:proofErr w:type="spellStart"/>
            <w:r>
              <w:t>dantrolene</w:t>
            </w:r>
            <w:proofErr w:type="spellEnd"/>
            <w:r>
              <w:t xml:space="preserve"> use from first MH sign.  For each 10-minute delay in administration of </w:t>
            </w:r>
            <w:proofErr w:type="spellStart"/>
            <w:r>
              <w:t>dantrolene</w:t>
            </w:r>
            <w:proofErr w:type="spellEnd"/>
            <w:r>
              <w:t xml:space="preserve">, complications increased substantially.  When </w:t>
            </w:r>
            <w:proofErr w:type="spellStart"/>
            <w:r>
              <w:t>dantrolene</w:t>
            </w:r>
            <w:proofErr w:type="spellEnd"/>
            <w:r>
              <w:t xml:space="preserve"> </w:t>
            </w:r>
            <w:r w:rsidR="004F3D14">
              <w:t xml:space="preserve">was delayed beyond 50 minutes, </w:t>
            </w:r>
            <w:r>
              <w:t xml:space="preserve">complication rates </w:t>
            </w:r>
            <w:r>
              <w:lastRenderedPageBreak/>
              <w:t>increased to 100%.</w:t>
            </w:r>
          </w:p>
          <w:p w14:paraId="62DDBEFB" w14:textId="77777777" w:rsidR="00170A27" w:rsidRDefault="00170A27" w:rsidP="000C2BC6"/>
          <w:p w14:paraId="6FF47E25" w14:textId="77777777" w:rsidR="00D20410" w:rsidRDefault="00D20410" w:rsidP="000C2BC6"/>
        </w:tc>
        <w:tc>
          <w:tcPr>
            <w:tcW w:w="0" w:type="auto"/>
          </w:tcPr>
          <w:p w14:paraId="11983EEA" w14:textId="77777777" w:rsidR="00170A27" w:rsidRDefault="00170A27" w:rsidP="000C2BC6"/>
          <w:p w14:paraId="18B25906" w14:textId="77777777" w:rsidR="00170A27" w:rsidRDefault="00170A27" w:rsidP="000C2BC6">
            <w:r>
              <w:t>Classification of MH Event</w:t>
            </w:r>
          </w:p>
          <w:p w14:paraId="0D0DEFA2" w14:textId="77777777" w:rsidR="00170A27" w:rsidRDefault="00170A27" w:rsidP="000C2BC6"/>
          <w:p w14:paraId="6AAED305" w14:textId="017C8406" w:rsidR="00170A27" w:rsidRDefault="00A44093" w:rsidP="000C2BC6">
            <w:r>
              <w:t>Ref#1</w:t>
            </w:r>
            <w:r w:rsidR="00170A27">
              <w:t>:  D4-D6</w:t>
            </w:r>
          </w:p>
          <w:p w14:paraId="4FE2575C" w14:textId="77777777" w:rsidR="00170A27" w:rsidRDefault="00170A27" w:rsidP="000C2BC6"/>
          <w:p w14:paraId="393E3785" w14:textId="067A696D" w:rsidR="00170A27" w:rsidRDefault="00A44093" w:rsidP="000C2BC6">
            <w:r>
              <w:t>Ref#2</w:t>
            </w:r>
            <w:r w:rsidR="00170A27">
              <w:t>:  D5-D6</w:t>
            </w:r>
          </w:p>
          <w:p w14:paraId="22E4ADA7" w14:textId="77777777" w:rsidR="00170A27" w:rsidRDefault="00170A27" w:rsidP="000C2BC6"/>
          <w:p w14:paraId="39E6AC52" w14:textId="109A9041" w:rsidR="00170A27" w:rsidRDefault="00A44093" w:rsidP="000C2BC6">
            <w:r>
              <w:t>Ref#4</w:t>
            </w:r>
            <w:r w:rsidR="00170A27">
              <w:t xml:space="preserve">:  CHCT+ with 72/129 (55.8%) D5-D6, range of </w:t>
            </w:r>
            <w:r w:rsidR="00170A27">
              <w:lastRenderedPageBreak/>
              <w:t>all 129=D3-D6</w:t>
            </w:r>
          </w:p>
          <w:p w14:paraId="616D98A8" w14:textId="77777777" w:rsidR="00170A27" w:rsidRDefault="00170A27" w:rsidP="000C2BC6"/>
          <w:p w14:paraId="44866130" w14:textId="5DEBC27A" w:rsidR="00170A27" w:rsidRDefault="00A44093" w:rsidP="000C2BC6">
            <w:r>
              <w:t>Ref#5</w:t>
            </w:r>
            <w:r w:rsidR="00170A27">
              <w:t>:  D5-D6</w:t>
            </w:r>
          </w:p>
        </w:tc>
        <w:tc>
          <w:tcPr>
            <w:tcW w:w="0" w:type="auto"/>
          </w:tcPr>
          <w:p w14:paraId="724B4773" w14:textId="77777777" w:rsidR="00170A27" w:rsidRDefault="00170A27" w:rsidP="000C2BC6"/>
          <w:p w14:paraId="4D00FEE3" w14:textId="77777777" w:rsidR="00170A27" w:rsidRDefault="00170A27" w:rsidP="000C2BC6">
            <w:r>
              <w:t>Level of Evidence</w:t>
            </w:r>
          </w:p>
          <w:p w14:paraId="3A3F2AE6" w14:textId="77777777" w:rsidR="00170A27" w:rsidRDefault="00170A27" w:rsidP="000C2BC6"/>
          <w:p w14:paraId="245D8AA1" w14:textId="211537D3" w:rsidR="00170A27" w:rsidRDefault="00A44093" w:rsidP="000C2BC6">
            <w:r>
              <w:t xml:space="preserve">All references are level </w:t>
            </w:r>
            <w:r w:rsidR="0048428D">
              <w:t xml:space="preserve">3 or </w:t>
            </w:r>
            <w:r w:rsidR="00170A27">
              <w:t>4</w:t>
            </w:r>
          </w:p>
        </w:tc>
        <w:tc>
          <w:tcPr>
            <w:tcW w:w="0" w:type="auto"/>
          </w:tcPr>
          <w:p w14:paraId="339C0A7F" w14:textId="77777777" w:rsidR="00170A27" w:rsidRDefault="00170A27" w:rsidP="000C2BC6"/>
          <w:p w14:paraId="044B72F9" w14:textId="77777777" w:rsidR="00170A27" w:rsidRDefault="00170A27" w:rsidP="000C2BC6">
            <w:r>
              <w:t>Bias</w:t>
            </w:r>
          </w:p>
          <w:p w14:paraId="5D865CD9" w14:textId="77777777" w:rsidR="00170A27" w:rsidRDefault="00170A27" w:rsidP="000C2BC6"/>
          <w:p w14:paraId="06A4D8FC" w14:textId="77777777" w:rsidR="00170A27" w:rsidRDefault="00170A27" w:rsidP="000C2BC6"/>
          <w:p w14:paraId="7D250174" w14:textId="77777777" w:rsidR="00170A27" w:rsidRDefault="00170A27" w:rsidP="000C2BC6">
            <w:r>
              <w:t>Incomplete data possible,</w:t>
            </w:r>
          </w:p>
          <w:p w14:paraId="0FB5AB0A" w14:textId="77777777" w:rsidR="00170A27" w:rsidRDefault="00170A27" w:rsidP="000C2BC6">
            <w:r>
              <w:t>No classic case control studies</w:t>
            </w:r>
          </w:p>
          <w:p w14:paraId="476F67B0" w14:textId="38DE2224" w:rsidR="00170A27" w:rsidRDefault="00170A27" w:rsidP="000C2BC6">
            <w:r>
              <w:t xml:space="preserve">Reporting and recall bias; </w:t>
            </w:r>
            <w:r w:rsidR="00A44093">
              <w:t xml:space="preserve">selection bias </w:t>
            </w:r>
            <w:r w:rsidR="00A44093">
              <w:lastRenderedPageBreak/>
              <w:t>(especially ref#4</w:t>
            </w:r>
            <w:r>
              <w:t xml:space="preserve"> because had to survive and be well enough to go on for CHCT), confounding, associations do not imply causality</w:t>
            </w:r>
          </w:p>
        </w:tc>
        <w:tc>
          <w:tcPr>
            <w:tcW w:w="1814" w:type="dxa"/>
          </w:tcPr>
          <w:p w14:paraId="17E9A89A" w14:textId="77777777" w:rsidR="00170A27" w:rsidRDefault="00170A27" w:rsidP="000C2BC6"/>
          <w:p w14:paraId="79F5D15E" w14:textId="77777777" w:rsidR="00170A27" w:rsidRDefault="00170A27" w:rsidP="000C2BC6">
            <w:r>
              <w:t>Comments</w:t>
            </w:r>
          </w:p>
          <w:p w14:paraId="666DF08B" w14:textId="77777777" w:rsidR="00170A27" w:rsidRDefault="00170A27" w:rsidP="000C2BC6"/>
          <w:p w14:paraId="22B1E5D4" w14:textId="77777777" w:rsidR="00170A27" w:rsidRDefault="00170A27" w:rsidP="000C2BC6"/>
          <w:p w14:paraId="1DCACDFC" w14:textId="4921F35C" w:rsidR="00170A27" w:rsidRDefault="00170A27" w:rsidP="000C2BC6">
            <w:r>
              <w:t>References #</w:t>
            </w:r>
            <w:r w:rsidR="00A44093">
              <w:t xml:space="preserve">1, #2, </w:t>
            </w:r>
            <w:r w:rsidR="00A8555C">
              <w:t xml:space="preserve">#3, </w:t>
            </w:r>
            <w:r w:rsidR="00A44093">
              <w:t xml:space="preserve">#5 </w:t>
            </w:r>
            <w:r>
              <w:t>primarily US cases.</w:t>
            </w:r>
          </w:p>
          <w:p w14:paraId="084CF978" w14:textId="77777777" w:rsidR="00170A27" w:rsidRDefault="00170A27" w:rsidP="000C2BC6"/>
          <w:p w14:paraId="0C0B178F" w14:textId="77777777" w:rsidR="00170A27" w:rsidRDefault="0095558A" w:rsidP="000C2BC6">
            <w:r>
              <w:t>Reference #4</w:t>
            </w:r>
            <w:r w:rsidR="00170A27">
              <w:t>:  Canadian cases</w:t>
            </w:r>
          </w:p>
        </w:tc>
      </w:tr>
    </w:tbl>
    <w:p w14:paraId="5776B15E" w14:textId="5369DD1B" w:rsidR="00063C99" w:rsidRDefault="000C2BC6">
      <w:r>
        <w:lastRenderedPageBreak/>
        <w:br w:type="textWrapping" w:clear="all"/>
      </w:r>
      <w:r w:rsidR="00063C99">
        <w:t>*</w:t>
      </w:r>
      <w:r w:rsidR="00063C99">
        <w:tab/>
        <w:t>CGS=Clinical Grading Scale</w:t>
      </w:r>
    </w:p>
    <w:p w14:paraId="1521548E" w14:textId="506A581C" w:rsidR="00063C99" w:rsidRDefault="00063C99">
      <w:r>
        <w:t>**</w:t>
      </w:r>
      <w:r>
        <w:tab/>
        <w:t>NAMHR=North American Malignant Hyperthermia Registry of the Malignant Hyperthermia Association of the US</w:t>
      </w:r>
    </w:p>
    <w:p w14:paraId="57B41544" w14:textId="1AC310D4" w:rsidR="00170A27" w:rsidRDefault="00063C99">
      <w:r>
        <w:t>***</w:t>
      </w:r>
      <w:r>
        <w:tab/>
      </w:r>
      <w:r w:rsidR="0060545D">
        <w:t>CK=creatine kinase</w:t>
      </w:r>
    </w:p>
    <w:p w14:paraId="44946D42" w14:textId="6FB2319B" w:rsidR="00063C99" w:rsidRDefault="00063C99">
      <w:r>
        <w:t>§</w:t>
      </w:r>
      <w:r>
        <w:tab/>
        <w:t>DIC=disseminated intravascular coagulation</w:t>
      </w:r>
    </w:p>
    <w:p w14:paraId="32A0AE17" w14:textId="77777777" w:rsidR="00D20410" w:rsidRPr="00D20410" w:rsidRDefault="00D20410">
      <w:pPr>
        <w:rPr>
          <w:rFonts w:ascii="Times New Roman Italic" w:hAnsi="Times New Roman Italic"/>
          <w:i/>
          <w:iCs/>
          <w:color w:val="1F497D" w:themeColor="text2"/>
        </w:rPr>
      </w:pPr>
    </w:p>
    <w:p w14:paraId="594380C5" w14:textId="77777777" w:rsidR="00D20410" w:rsidRDefault="00D20410"/>
    <w:p w14:paraId="0DAFEC4C" w14:textId="77777777" w:rsidR="00D20410" w:rsidRDefault="00D20410"/>
    <w:p w14:paraId="3108D436" w14:textId="77777777" w:rsidR="00170A27" w:rsidRDefault="00170A27"/>
    <w:p w14:paraId="3AC1E2BA" w14:textId="77777777" w:rsidR="00170A27" w:rsidRDefault="00170A27"/>
    <w:p w14:paraId="3B23BB82" w14:textId="77777777" w:rsidR="00170A27" w:rsidRDefault="00170A27"/>
    <w:p w14:paraId="64DD3E12" w14:textId="77777777" w:rsidR="00B13941" w:rsidRPr="00111142" w:rsidRDefault="00B13941" w:rsidP="00111142">
      <w:pPr>
        <w:rPr>
          <w:i/>
        </w:rPr>
      </w:pPr>
    </w:p>
    <w:sectPr w:rsidR="00B13941" w:rsidRPr="00111142" w:rsidSect="00111142">
      <w:headerReference w:type="even" r:id="rId8"/>
      <w:headerReference w:type="default" r:id="rId9"/>
      <w:footnotePr>
        <w:numFmt w:val="chicago"/>
      </w:footnotePr>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A19C5" w14:textId="77777777" w:rsidR="000C2BC6" w:rsidRDefault="000C2BC6" w:rsidP="006D1536">
      <w:r>
        <w:separator/>
      </w:r>
    </w:p>
  </w:endnote>
  <w:endnote w:type="continuationSeparator" w:id="0">
    <w:p w14:paraId="0A50882F" w14:textId="77777777" w:rsidR="000C2BC6" w:rsidRDefault="000C2BC6" w:rsidP="006D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Italic">
    <w:panose1 w:val="02020503050405090304"/>
    <w:charset w:val="00"/>
    <w:family w:val="auto"/>
    <w:pitch w:val="variable"/>
    <w:sig w:usb0="E0000AFF" w:usb1="00007843" w:usb2="00000001"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2794B" w14:textId="77777777" w:rsidR="000C2BC6" w:rsidRDefault="000C2BC6" w:rsidP="006D1536">
      <w:r>
        <w:separator/>
      </w:r>
    </w:p>
  </w:footnote>
  <w:footnote w:type="continuationSeparator" w:id="0">
    <w:p w14:paraId="464826AC" w14:textId="77777777" w:rsidR="000C2BC6" w:rsidRDefault="000C2BC6" w:rsidP="006D15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4567" w14:textId="77777777" w:rsidR="000C2BC6" w:rsidRDefault="000C2BC6" w:rsidP="006D15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5DEF" w14:textId="77777777" w:rsidR="000C2BC6" w:rsidRDefault="000C2BC6" w:rsidP="006D15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6957" w14:textId="77777777" w:rsidR="000C2BC6" w:rsidRDefault="000C2BC6" w:rsidP="006D15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5B9">
      <w:rPr>
        <w:rStyle w:val="PageNumber"/>
        <w:noProof/>
      </w:rPr>
      <w:t>1</w:t>
    </w:r>
    <w:r>
      <w:rPr>
        <w:rStyle w:val="PageNumber"/>
      </w:rPr>
      <w:fldChar w:fldCharType="end"/>
    </w:r>
  </w:p>
  <w:p w14:paraId="489EE8D3" w14:textId="77777777" w:rsidR="000C2BC6" w:rsidRDefault="000C2BC6" w:rsidP="006D15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2A7"/>
    <w:multiLevelType w:val="hybridMultilevel"/>
    <w:tmpl w:val="BB74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61B64"/>
    <w:multiLevelType w:val="hybridMultilevel"/>
    <w:tmpl w:val="02828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82F1A"/>
    <w:multiLevelType w:val="hybridMultilevel"/>
    <w:tmpl w:val="79E6E77E"/>
    <w:lvl w:ilvl="0" w:tplc="70F83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2181E"/>
    <w:multiLevelType w:val="hybridMultilevel"/>
    <w:tmpl w:val="C3BA4E5A"/>
    <w:lvl w:ilvl="0" w:tplc="448CFF96">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4E3F94"/>
    <w:multiLevelType w:val="hybridMultilevel"/>
    <w:tmpl w:val="3182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44"/>
    <w:rsid w:val="00001AC0"/>
    <w:rsid w:val="000027F6"/>
    <w:rsid w:val="00002BA4"/>
    <w:rsid w:val="00010D67"/>
    <w:rsid w:val="0001219C"/>
    <w:rsid w:val="00012A72"/>
    <w:rsid w:val="00014A56"/>
    <w:rsid w:val="00016DDD"/>
    <w:rsid w:val="0001734C"/>
    <w:rsid w:val="00022D98"/>
    <w:rsid w:val="00025C64"/>
    <w:rsid w:val="00031237"/>
    <w:rsid w:val="000351DB"/>
    <w:rsid w:val="00037AAF"/>
    <w:rsid w:val="000470F3"/>
    <w:rsid w:val="00050A0C"/>
    <w:rsid w:val="00052152"/>
    <w:rsid w:val="00060F19"/>
    <w:rsid w:val="000632F4"/>
    <w:rsid w:val="00063C99"/>
    <w:rsid w:val="000672BA"/>
    <w:rsid w:val="00073C13"/>
    <w:rsid w:val="00076DC2"/>
    <w:rsid w:val="000772F4"/>
    <w:rsid w:val="000819E3"/>
    <w:rsid w:val="00084773"/>
    <w:rsid w:val="000904F9"/>
    <w:rsid w:val="00094D18"/>
    <w:rsid w:val="000A0A35"/>
    <w:rsid w:val="000A0BEE"/>
    <w:rsid w:val="000A3252"/>
    <w:rsid w:val="000B2D92"/>
    <w:rsid w:val="000C2571"/>
    <w:rsid w:val="000C2BC6"/>
    <w:rsid w:val="000C72F3"/>
    <w:rsid w:val="000D4D69"/>
    <w:rsid w:val="000E54F5"/>
    <w:rsid w:val="000E57D3"/>
    <w:rsid w:val="000F4F4C"/>
    <w:rsid w:val="001013BC"/>
    <w:rsid w:val="00107B29"/>
    <w:rsid w:val="00107BD6"/>
    <w:rsid w:val="00111142"/>
    <w:rsid w:val="00117C25"/>
    <w:rsid w:val="00120AF8"/>
    <w:rsid w:val="001227E1"/>
    <w:rsid w:val="001235B9"/>
    <w:rsid w:val="00134E92"/>
    <w:rsid w:val="0013587E"/>
    <w:rsid w:val="00145100"/>
    <w:rsid w:val="00150AF2"/>
    <w:rsid w:val="0015472F"/>
    <w:rsid w:val="00163FE6"/>
    <w:rsid w:val="00164194"/>
    <w:rsid w:val="00170A27"/>
    <w:rsid w:val="00176208"/>
    <w:rsid w:val="00185E25"/>
    <w:rsid w:val="00190026"/>
    <w:rsid w:val="00190657"/>
    <w:rsid w:val="00193FB4"/>
    <w:rsid w:val="001B04CC"/>
    <w:rsid w:val="001B102C"/>
    <w:rsid w:val="001C4655"/>
    <w:rsid w:val="001C5707"/>
    <w:rsid w:val="001C61BF"/>
    <w:rsid w:val="001D50B9"/>
    <w:rsid w:val="001D75B8"/>
    <w:rsid w:val="001E11E2"/>
    <w:rsid w:val="001F03C1"/>
    <w:rsid w:val="001F3866"/>
    <w:rsid w:val="001F4818"/>
    <w:rsid w:val="001F52B9"/>
    <w:rsid w:val="00202538"/>
    <w:rsid w:val="0020749B"/>
    <w:rsid w:val="002124F1"/>
    <w:rsid w:val="00214F14"/>
    <w:rsid w:val="0021565E"/>
    <w:rsid w:val="00222273"/>
    <w:rsid w:val="0022266B"/>
    <w:rsid w:val="00226C94"/>
    <w:rsid w:val="00226EDF"/>
    <w:rsid w:val="00230872"/>
    <w:rsid w:val="00236A7F"/>
    <w:rsid w:val="00236D00"/>
    <w:rsid w:val="00241AEA"/>
    <w:rsid w:val="00243710"/>
    <w:rsid w:val="00251F2A"/>
    <w:rsid w:val="0027013D"/>
    <w:rsid w:val="0027474B"/>
    <w:rsid w:val="00277DD7"/>
    <w:rsid w:val="00284AAB"/>
    <w:rsid w:val="00285F7C"/>
    <w:rsid w:val="0028694D"/>
    <w:rsid w:val="002B365A"/>
    <w:rsid w:val="002B3EB8"/>
    <w:rsid w:val="002C4757"/>
    <w:rsid w:val="002C5A0A"/>
    <w:rsid w:val="002E7E5D"/>
    <w:rsid w:val="002F40F8"/>
    <w:rsid w:val="002F550B"/>
    <w:rsid w:val="002F6B85"/>
    <w:rsid w:val="00304C5E"/>
    <w:rsid w:val="00304C95"/>
    <w:rsid w:val="00307639"/>
    <w:rsid w:val="0032675C"/>
    <w:rsid w:val="00337647"/>
    <w:rsid w:val="00337AE2"/>
    <w:rsid w:val="0034524F"/>
    <w:rsid w:val="00354589"/>
    <w:rsid w:val="003601CA"/>
    <w:rsid w:val="00361798"/>
    <w:rsid w:val="00372877"/>
    <w:rsid w:val="003800F4"/>
    <w:rsid w:val="00384DF5"/>
    <w:rsid w:val="0038633A"/>
    <w:rsid w:val="003923E2"/>
    <w:rsid w:val="003A2215"/>
    <w:rsid w:val="003A2A49"/>
    <w:rsid w:val="003A6BFC"/>
    <w:rsid w:val="003A7A4E"/>
    <w:rsid w:val="003B1A17"/>
    <w:rsid w:val="003C6BDE"/>
    <w:rsid w:val="003E5EF4"/>
    <w:rsid w:val="003E7FF9"/>
    <w:rsid w:val="003F0152"/>
    <w:rsid w:val="003F1A40"/>
    <w:rsid w:val="00406037"/>
    <w:rsid w:val="0040651C"/>
    <w:rsid w:val="004107A8"/>
    <w:rsid w:val="00410B89"/>
    <w:rsid w:val="00411E48"/>
    <w:rsid w:val="00415EBF"/>
    <w:rsid w:val="0042053B"/>
    <w:rsid w:val="00426163"/>
    <w:rsid w:val="00427E2D"/>
    <w:rsid w:val="004304A4"/>
    <w:rsid w:val="004344B9"/>
    <w:rsid w:val="00435011"/>
    <w:rsid w:val="00441664"/>
    <w:rsid w:val="0046201E"/>
    <w:rsid w:val="0046751F"/>
    <w:rsid w:val="004700F8"/>
    <w:rsid w:val="00471C43"/>
    <w:rsid w:val="004828B6"/>
    <w:rsid w:val="0048428D"/>
    <w:rsid w:val="00485137"/>
    <w:rsid w:val="0049187D"/>
    <w:rsid w:val="00497B46"/>
    <w:rsid w:val="004A224A"/>
    <w:rsid w:val="004A509C"/>
    <w:rsid w:val="004B1156"/>
    <w:rsid w:val="004B56D7"/>
    <w:rsid w:val="004B650A"/>
    <w:rsid w:val="004B76BB"/>
    <w:rsid w:val="004C0939"/>
    <w:rsid w:val="004C2058"/>
    <w:rsid w:val="004D45D2"/>
    <w:rsid w:val="004E09F3"/>
    <w:rsid w:val="004E1578"/>
    <w:rsid w:val="004E1C05"/>
    <w:rsid w:val="004E42D5"/>
    <w:rsid w:val="004F3D14"/>
    <w:rsid w:val="004F4131"/>
    <w:rsid w:val="005028B1"/>
    <w:rsid w:val="00507772"/>
    <w:rsid w:val="005170CC"/>
    <w:rsid w:val="00520EC1"/>
    <w:rsid w:val="0052116A"/>
    <w:rsid w:val="00521328"/>
    <w:rsid w:val="00530036"/>
    <w:rsid w:val="00546A6E"/>
    <w:rsid w:val="00550208"/>
    <w:rsid w:val="005562FE"/>
    <w:rsid w:val="00564A4D"/>
    <w:rsid w:val="00565247"/>
    <w:rsid w:val="0057384E"/>
    <w:rsid w:val="00580373"/>
    <w:rsid w:val="0058149C"/>
    <w:rsid w:val="00583CA7"/>
    <w:rsid w:val="00585542"/>
    <w:rsid w:val="00585BF4"/>
    <w:rsid w:val="005860EA"/>
    <w:rsid w:val="00586C95"/>
    <w:rsid w:val="00587C99"/>
    <w:rsid w:val="00587F02"/>
    <w:rsid w:val="00593072"/>
    <w:rsid w:val="005A596F"/>
    <w:rsid w:val="005A6406"/>
    <w:rsid w:val="005A73F8"/>
    <w:rsid w:val="005B577C"/>
    <w:rsid w:val="005C0CBF"/>
    <w:rsid w:val="005C16BD"/>
    <w:rsid w:val="005C2320"/>
    <w:rsid w:val="005D6C52"/>
    <w:rsid w:val="005D70F1"/>
    <w:rsid w:val="005D742A"/>
    <w:rsid w:val="005E2643"/>
    <w:rsid w:val="005F7842"/>
    <w:rsid w:val="00604DFF"/>
    <w:rsid w:val="0060545D"/>
    <w:rsid w:val="00606AC7"/>
    <w:rsid w:val="0061230C"/>
    <w:rsid w:val="00615C20"/>
    <w:rsid w:val="00622A57"/>
    <w:rsid w:val="00622F15"/>
    <w:rsid w:val="00632C71"/>
    <w:rsid w:val="00633973"/>
    <w:rsid w:val="0063458C"/>
    <w:rsid w:val="006356D6"/>
    <w:rsid w:val="006419DC"/>
    <w:rsid w:val="00643EBD"/>
    <w:rsid w:val="006520B2"/>
    <w:rsid w:val="00664EF4"/>
    <w:rsid w:val="006662A6"/>
    <w:rsid w:val="00675BA8"/>
    <w:rsid w:val="00675EBF"/>
    <w:rsid w:val="0068217E"/>
    <w:rsid w:val="00687BC7"/>
    <w:rsid w:val="006936C8"/>
    <w:rsid w:val="006939B3"/>
    <w:rsid w:val="0069405A"/>
    <w:rsid w:val="006A3E36"/>
    <w:rsid w:val="006A5D8D"/>
    <w:rsid w:val="006A5DC0"/>
    <w:rsid w:val="006A7A32"/>
    <w:rsid w:val="006B71D6"/>
    <w:rsid w:val="006C2861"/>
    <w:rsid w:val="006C6D41"/>
    <w:rsid w:val="006D1536"/>
    <w:rsid w:val="006D3439"/>
    <w:rsid w:val="006D6964"/>
    <w:rsid w:val="006E306E"/>
    <w:rsid w:val="006E555D"/>
    <w:rsid w:val="006E5BCA"/>
    <w:rsid w:val="006E7024"/>
    <w:rsid w:val="006F1760"/>
    <w:rsid w:val="006F26BA"/>
    <w:rsid w:val="007047FA"/>
    <w:rsid w:val="007051F1"/>
    <w:rsid w:val="0070574B"/>
    <w:rsid w:val="007107B4"/>
    <w:rsid w:val="00715077"/>
    <w:rsid w:val="007160CB"/>
    <w:rsid w:val="00716C08"/>
    <w:rsid w:val="00725354"/>
    <w:rsid w:val="00726212"/>
    <w:rsid w:val="00731505"/>
    <w:rsid w:val="00737061"/>
    <w:rsid w:val="007419D3"/>
    <w:rsid w:val="00750617"/>
    <w:rsid w:val="007526FF"/>
    <w:rsid w:val="00756EDA"/>
    <w:rsid w:val="00762E4F"/>
    <w:rsid w:val="00765CC3"/>
    <w:rsid w:val="00770133"/>
    <w:rsid w:val="0079308D"/>
    <w:rsid w:val="00797194"/>
    <w:rsid w:val="007A2D41"/>
    <w:rsid w:val="007A3556"/>
    <w:rsid w:val="007A4E85"/>
    <w:rsid w:val="007A7118"/>
    <w:rsid w:val="007B197E"/>
    <w:rsid w:val="007C0A2E"/>
    <w:rsid w:val="007C1ECC"/>
    <w:rsid w:val="007C7D64"/>
    <w:rsid w:val="00805DA9"/>
    <w:rsid w:val="0081617A"/>
    <w:rsid w:val="00821365"/>
    <w:rsid w:val="008220DA"/>
    <w:rsid w:val="00824C86"/>
    <w:rsid w:val="00835A9F"/>
    <w:rsid w:val="00836CC5"/>
    <w:rsid w:val="008434F9"/>
    <w:rsid w:val="00855D68"/>
    <w:rsid w:val="00860FBB"/>
    <w:rsid w:val="00862CF8"/>
    <w:rsid w:val="00863326"/>
    <w:rsid w:val="00867065"/>
    <w:rsid w:val="008707E4"/>
    <w:rsid w:val="008762CD"/>
    <w:rsid w:val="00891BCC"/>
    <w:rsid w:val="00892536"/>
    <w:rsid w:val="008940A6"/>
    <w:rsid w:val="00894118"/>
    <w:rsid w:val="00894E18"/>
    <w:rsid w:val="008A1471"/>
    <w:rsid w:val="008A23FF"/>
    <w:rsid w:val="008A760A"/>
    <w:rsid w:val="008A78B1"/>
    <w:rsid w:val="008B243B"/>
    <w:rsid w:val="008B474D"/>
    <w:rsid w:val="008C3E17"/>
    <w:rsid w:val="008C4395"/>
    <w:rsid w:val="008D0FDB"/>
    <w:rsid w:val="008D1B30"/>
    <w:rsid w:val="008D50B3"/>
    <w:rsid w:val="008E1C7E"/>
    <w:rsid w:val="008E6443"/>
    <w:rsid w:val="00900EF1"/>
    <w:rsid w:val="00901007"/>
    <w:rsid w:val="00905DE1"/>
    <w:rsid w:val="00907AC1"/>
    <w:rsid w:val="00914E32"/>
    <w:rsid w:val="0092027E"/>
    <w:rsid w:val="00920757"/>
    <w:rsid w:val="00927EB4"/>
    <w:rsid w:val="009322C6"/>
    <w:rsid w:val="00934288"/>
    <w:rsid w:val="00937E6B"/>
    <w:rsid w:val="00940AC6"/>
    <w:rsid w:val="00944E5C"/>
    <w:rsid w:val="00950408"/>
    <w:rsid w:val="00950868"/>
    <w:rsid w:val="009521A7"/>
    <w:rsid w:val="009545C1"/>
    <w:rsid w:val="0095558A"/>
    <w:rsid w:val="009574C4"/>
    <w:rsid w:val="00971F9A"/>
    <w:rsid w:val="00977DDB"/>
    <w:rsid w:val="009839AA"/>
    <w:rsid w:val="00984967"/>
    <w:rsid w:val="009849F5"/>
    <w:rsid w:val="00991F25"/>
    <w:rsid w:val="009967D8"/>
    <w:rsid w:val="009A1D38"/>
    <w:rsid w:val="009A3774"/>
    <w:rsid w:val="009A3BED"/>
    <w:rsid w:val="009B1023"/>
    <w:rsid w:val="009B2E70"/>
    <w:rsid w:val="009B3C88"/>
    <w:rsid w:val="009B5ABE"/>
    <w:rsid w:val="009C6214"/>
    <w:rsid w:val="009D037D"/>
    <w:rsid w:val="009E1581"/>
    <w:rsid w:val="009E56F9"/>
    <w:rsid w:val="00A0459D"/>
    <w:rsid w:val="00A05D5F"/>
    <w:rsid w:val="00A11313"/>
    <w:rsid w:val="00A11652"/>
    <w:rsid w:val="00A12A79"/>
    <w:rsid w:val="00A13601"/>
    <w:rsid w:val="00A31D0D"/>
    <w:rsid w:val="00A40B67"/>
    <w:rsid w:val="00A44093"/>
    <w:rsid w:val="00A443CE"/>
    <w:rsid w:val="00A52C0C"/>
    <w:rsid w:val="00A56934"/>
    <w:rsid w:val="00A61910"/>
    <w:rsid w:val="00A76076"/>
    <w:rsid w:val="00A806AA"/>
    <w:rsid w:val="00A80FE7"/>
    <w:rsid w:val="00A8555C"/>
    <w:rsid w:val="00A90A7C"/>
    <w:rsid w:val="00A9303F"/>
    <w:rsid w:val="00A93BBC"/>
    <w:rsid w:val="00AA1620"/>
    <w:rsid w:val="00AA228C"/>
    <w:rsid w:val="00AB7845"/>
    <w:rsid w:val="00AD2266"/>
    <w:rsid w:val="00AD66B3"/>
    <w:rsid w:val="00AE3497"/>
    <w:rsid w:val="00AE5843"/>
    <w:rsid w:val="00AF72E3"/>
    <w:rsid w:val="00AF7A7F"/>
    <w:rsid w:val="00B00201"/>
    <w:rsid w:val="00B01EE9"/>
    <w:rsid w:val="00B11EF9"/>
    <w:rsid w:val="00B13941"/>
    <w:rsid w:val="00B15F8F"/>
    <w:rsid w:val="00B17D8C"/>
    <w:rsid w:val="00B2180C"/>
    <w:rsid w:val="00B312BC"/>
    <w:rsid w:val="00B31AF6"/>
    <w:rsid w:val="00B321CD"/>
    <w:rsid w:val="00B411D5"/>
    <w:rsid w:val="00B4170D"/>
    <w:rsid w:val="00B4302C"/>
    <w:rsid w:val="00B4422A"/>
    <w:rsid w:val="00B44786"/>
    <w:rsid w:val="00B45220"/>
    <w:rsid w:val="00B4777D"/>
    <w:rsid w:val="00B5186B"/>
    <w:rsid w:val="00B74727"/>
    <w:rsid w:val="00B74A9D"/>
    <w:rsid w:val="00B848B4"/>
    <w:rsid w:val="00B858D6"/>
    <w:rsid w:val="00B8724E"/>
    <w:rsid w:val="00B90185"/>
    <w:rsid w:val="00B92AE8"/>
    <w:rsid w:val="00BA0C9D"/>
    <w:rsid w:val="00BA3278"/>
    <w:rsid w:val="00BB253F"/>
    <w:rsid w:val="00BC0A55"/>
    <w:rsid w:val="00BC7B42"/>
    <w:rsid w:val="00BE03EB"/>
    <w:rsid w:val="00BE3AC6"/>
    <w:rsid w:val="00BF0D34"/>
    <w:rsid w:val="00BF1645"/>
    <w:rsid w:val="00C00AA8"/>
    <w:rsid w:val="00C0582B"/>
    <w:rsid w:val="00C10E47"/>
    <w:rsid w:val="00C14444"/>
    <w:rsid w:val="00C21CCF"/>
    <w:rsid w:val="00C31FCF"/>
    <w:rsid w:val="00C32845"/>
    <w:rsid w:val="00C35327"/>
    <w:rsid w:val="00C35350"/>
    <w:rsid w:val="00C369F2"/>
    <w:rsid w:val="00C437D0"/>
    <w:rsid w:val="00C44300"/>
    <w:rsid w:val="00C52B75"/>
    <w:rsid w:val="00C530F3"/>
    <w:rsid w:val="00C559B2"/>
    <w:rsid w:val="00C717C3"/>
    <w:rsid w:val="00C732B7"/>
    <w:rsid w:val="00C74276"/>
    <w:rsid w:val="00C9113A"/>
    <w:rsid w:val="00C92084"/>
    <w:rsid w:val="00C92725"/>
    <w:rsid w:val="00C938AB"/>
    <w:rsid w:val="00C94BB8"/>
    <w:rsid w:val="00CA0667"/>
    <w:rsid w:val="00CA5D96"/>
    <w:rsid w:val="00CB2833"/>
    <w:rsid w:val="00CC0485"/>
    <w:rsid w:val="00CC0F31"/>
    <w:rsid w:val="00CC47BD"/>
    <w:rsid w:val="00CD1478"/>
    <w:rsid w:val="00CE1A54"/>
    <w:rsid w:val="00CE5871"/>
    <w:rsid w:val="00CF7440"/>
    <w:rsid w:val="00D00B9A"/>
    <w:rsid w:val="00D01DDD"/>
    <w:rsid w:val="00D0347B"/>
    <w:rsid w:val="00D10FDD"/>
    <w:rsid w:val="00D126A0"/>
    <w:rsid w:val="00D1624B"/>
    <w:rsid w:val="00D20410"/>
    <w:rsid w:val="00D32B50"/>
    <w:rsid w:val="00D4115B"/>
    <w:rsid w:val="00D43664"/>
    <w:rsid w:val="00D500A2"/>
    <w:rsid w:val="00D62606"/>
    <w:rsid w:val="00D62771"/>
    <w:rsid w:val="00D6394D"/>
    <w:rsid w:val="00D65765"/>
    <w:rsid w:val="00D7764C"/>
    <w:rsid w:val="00D844D7"/>
    <w:rsid w:val="00D874D9"/>
    <w:rsid w:val="00D93A73"/>
    <w:rsid w:val="00DA18F2"/>
    <w:rsid w:val="00DA67E9"/>
    <w:rsid w:val="00DC0616"/>
    <w:rsid w:val="00DC19D0"/>
    <w:rsid w:val="00DD3F3C"/>
    <w:rsid w:val="00DE2CE0"/>
    <w:rsid w:val="00DF1190"/>
    <w:rsid w:val="00DF4C30"/>
    <w:rsid w:val="00DF731D"/>
    <w:rsid w:val="00E0528B"/>
    <w:rsid w:val="00E14F0A"/>
    <w:rsid w:val="00E171C5"/>
    <w:rsid w:val="00E21249"/>
    <w:rsid w:val="00E21647"/>
    <w:rsid w:val="00E21680"/>
    <w:rsid w:val="00E33A94"/>
    <w:rsid w:val="00E33F39"/>
    <w:rsid w:val="00E47BE0"/>
    <w:rsid w:val="00E67529"/>
    <w:rsid w:val="00E802C5"/>
    <w:rsid w:val="00E80710"/>
    <w:rsid w:val="00E82633"/>
    <w:rsid w:val="00E83512"/>
    <w:rsid w:val="00E84F3F"/>
    <w:rsid w:val="00E87BA9"/>
    <w:rsid w:val="00E9481C"/>
    <w:rsid w:val="00EA12B9"/>
    <w:rsid w:val="00EB4FA7"/>
    <w:rsid w:val="00EB68D9"/>
    <w:rsid w:val="00EB6DA8"/>
    <w:rsid w:val="00EC0576"/>
    <w:rsid w:val="00EC0693"/>
    <w:rsid w:val="00EC6C86"/>
    <w:rsid w:val="00ED63B6"/>
    <w:rsid w:val="00EE0D1D"/>
    <w:rsid w:val="00EE4C5E"/>
    <w:rsid w:val="00EF0384"/>
    <w:rsid w:val="00EF264C"/>
    <w:rsid w:val="00EF4593"/>
    <w:rsid w:val="00EF641D"/>
    <w:rsid w:val="00EF7471"/>
    <w:rsid w:val="00F045B3"/>
    <w:rsid w:val="00F13F21"/>
    <w:rsid w:val="00F14E57"/>
    <w:rsid w:val="00F1544D"/>
    <w:rsid w:val="00F16D88"/>
    <w:rsid w:val="00F23EA9"/>
    <w:rsid w:val="00F35AE7"/>
    <w:rsid w:val="00F35D40"/>
    <w:rsid w:val="00F35F40"/>
    <w:rsid w:val="00F425DF"/>
    <w:rsid w:val="00F427E5"/>
    <w:rsid w:val="00F45946"/>
    <w:rsid w:val="00F56AC8"/>
    <w:rsid w:val="00F7043F"/>
    <w:rsid w:val="00F72A71"/>
    <w:rsid w:val="00F949EF"/>
    <w:rsid w:val="00F967CA"/>
    <w:rsid w:val="00FA2ECB"/>
    <w:rsid w:val="00FB0F58"/>
    <w:rsid w:val="00FC2486"/>
    <w:rsid w:val="00FC5455"/>
    <w:rsid w:val="00FC6F57"/>
    <w:rsid w:val="00FD33BF"/>
    <w:rsid w:val="00FF1C84"/>
    <w:rsid w:val="00FF2B5B"/>
    <w:rsid w:val="00FF3367"/>
    <w:rsid w:val="00FF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FDFEB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2">
    <w:name w:val="heading 2"/>
    <w:basedOn w:val="Normal"/>
    <w:next w:val="Normal"/>
    <w:link w:val="Heading2Char"/>
    <w:qFormat/>
    <w:rsid w:val="007419D3"/>
    <w:pPr>
      <w:jc w:val="center"/>
      <w:outlineLvl w:val="1"/>
    </w:pPr>
    <w:rPr>
      <w:rFonts w:eastAsia="Times New Roman"/>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6F"/>
    <w:rPr>
      <w:color w:val="0000FF" w:themeColor="hyperlink"/>
      <w:u w:val="single"/>
    </w:rPr>
  </w:style>
  <w:style w:type="character" w:customStyle="1" w:styleId="Heading2Char">
    <w:name w:val="Heading 2 Char"/>
    <w:basedOn w:val="DefaultParagraphFont"/>
    <w:link w:val="Heading2"/>
    <w:rsid w:val="007419D3"/>
    <w:rPr>
      <w:rFonts w:eastAsia="Times New Roman"/>
      <w:b/>
      <w:bCs/>
      <w:color w:val="000000"/>
      <w:kern w:val="28"/>
      <w:sz w:val="24"/>
      <w:szCs w:val="24"/>
      <w:lang w:val="en-CA" w:eastAsia="en-CA"/>
    </w:rPr>
  </w:style>
  <w:style w:type="paragraph" w:styleId="Header">
    <w:name w:val="header"/>
    <w:basedOn w:val="Normal"/>
    <w:link w:val="HeaderChar"/>
    <w:rsid w:val="007419D3"/>
    <w:pPr>
      <w:tabs>
        <w:tab w:val="center" w:pos="4320"/>
        <w:tab w:val="right" w:pos="8640"/>
      </w:tabs>
    </w:pPr>
    <w:rPr>
      <w:rFonts w:ascii="Garamond" w:eastAsia="Times New Roman" w:hAnsi="Garamond"/>
      <w:color w:val="008000"/>
      <w:w w:val="120"/>
      <w:lang w:val="en-CA"/>
    </w:rPr>
  </w:style>
  <w:style w:type="character" w:customStyle="1" w:styleId="HeaderChar">
    <w:name w:val="Header Char"/>
    <w:basedOn w:val="DefaultParagraphFont"/>
    <w:link w:val="Header"/>
    <w:rsid w:val="007419D3"/>
    <w:rPr>
      <w:rFonts w:ascii="Garamond" w:eastAsia="Times New Roman" w:hAnsi="Garamond"/>
      <w:color w:val="008000"/>
      <w:w w:val="120"/>
      <w:sz w:val="24"/>
      <w:szCs w:val="24"/>
      <w:lang w:val="en-CA" w:eastAsia="en-US"/>
    </w:rPr>
  </w:style>
  <w:style w:type="table" w:styleId="TableGrid">
    <w:name w:val="Table Grid"/>
    <w:basedOn w:val="TableNormal"/>
    <w:uiPriority w:val="59"/>
    <w:rsid w:val="000672BA"/>
    <w:rPr>
      <w:rFonts w:ascii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672BA"/>
    <w:rPr>
      <w:color w:val="800080" w:themeColor="followedHyperlink"/>
      <w:u w:val="single"/>
    </w:rPr>
  </w:style>
  <w:style w:type="paragraph" w:styleId="ListParagraph">
    <w:name w:val="List Paragraph"/>
    <w:basedOn w:val="Normal"/>
    <w:uiPriority w:val="34"/>
    <w:qFormat/>
    <w:rsid w:val="0086332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B04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4CC"/>
    <w:rPr>
      <w:rFonts w:ascii="Lucida Grande" w:hAnsi="Lucida Grande" w:cs="Lucida Grande"/>
      <w:sz w:val="18"/>
      <w:szCs w:val="18"/>
      <w:lang w:eastAsia="en-US"/>
    </w:rPr>
  </w:style>
  <w:style w:type="character" w:styleId="PageNumber">
    <w:name w:val="page number"/>
    <w:basedOn w:val="DefaultParagraphFont"/>
    <w:uiPriority w:val="99"/>
    <w:semiHidden/>
    <w:unhideWhenUsed/>
    <w:rsid w:val="006D1536"/>
  </w:style>
  <w:style w:type="paragraph" w:styleId="Footer">
    <w:name w:val="footer"/>
    <w:basedOn w:val="Normal"/>
    <w:link w:val="FooterChar"/>
    <w:uiPriority w:val="99"/>
    <w:unhideWhenUsed/>
    <w:rsid w:val="00622F15"/>
    <w:pPr>
      <w:tabs>
        <w:tab w:val="center" w:pos="4320"/>
        <w:tab w:val="right" w:pos="8640"/>
      </w:tabs>
    </w:pPr>
  </w:style>
  <w:style w:type="character" w:customStyle="1" w:styleId="FooterChar">
    <w:name w:val="Footer Char"/>
    <w:basedOn w:val="DefaultParagraphFont"/>
    <w:link w:val="Footer"/>
    <w:uiPriority w:val="99"/>
    <w:rsid w:val="00622F15"/>
    <w:rPr>
      <w:sz w:val="24"/>
      <w:szCs w:val="24"/>
      <w:lang w:eastAsia="en-US"/>
    </w:rPr>
  </w:style>
  <w:style w:type="paragraph" w:styleId="FootnoteText">
    <w:name w:val="footnote text"/>
    <w:basedOn w:val="Normal"/>
    <w:link w:val="FootnoteTextChar"/>
    <w:uiPriority w:val="99"/>
    <w:unhideWhenUsed/>
    <w:rsid w:val="00D20410"/>
  </w:style>
  <w:style w:type="character" w:customStyle="1" w:styleId="FootnoteTextChar">
    <w:name w:val="Footnote Text Char"/>
    <w:basedOn w:val="DefaultParagraphFont"/>
    <w:link w:val="FootnoteText"/>
    <w:uiPriority w:val="99"/>
    <w:rsid w:val="00D20410"/>
    <w:rPr>
      <w:lang w:eastAsia="en-US"/>
    </w:rPr>
  </w:style>
  <w:style w:type="character" w:styleId="FootnoteReference">
    <w:name w:val="footnote reference"/>
    <w:basedOn w:val="DefaultParagraphFont"/>
    <w:uiPriority w:val="99"/>
    <w:unhideWhenUsed/>
    <w:rsid w:val="00D20410"/>
    <w:rPr>
      <w:vertAlign w:val="superscript"/>
    </w:rPr>
  </w:style>
  <w:style w:type="paragraph" w:styleId="NormalWeb">
    <w:name w:val="Normal (Web)"/>
    <w:basedOn w:val="Normal"/>
    <w:uiPriority w:val="99"/>
    <w:semiHidden/>
    <w:unhideWhenUsed/>
    <w:rsid w:val="00B90185"/>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2">
    <w:name w:val="heading 2"/>
    <w:basedOn w:val="Normal"/>
    <w:next w:val="Normal"/>
    <w:link w:val="Heading2Char"/>
    <w:qFormat/>
    <w:rsid w:val="007419D3"/>
    <w:pPr>
      <w:jc w:val="center"/>
      <w:outlineLvl w:val="1"/>
    </w:pPr>
    <w:rPr>
      <w:rFonts w:eastAsia="Times New Roman"/>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6F"/>
    <w:rPr>
      <w:color w:val="0000FF" w:themeColor="hyperlink"/>
      <w:u w:val="single"/>
    </w:rPr>
  </w:style>
  <w:style w:type="character" w:customStyle="1" w:styleId="Heading2Char">
    <w:name w:val="Heading 2 Char"/>
    <w:basedOn w:val="DefaultParagraphFont"/>
    <w:link w:val="Heading2"/>
    <w:rsid w:val="007419D3"/>
    <w:rPr>
      <w:rFonts w:eastAsia="Times New Roman"/>
      <w:b/>
      <w:bCs/>
      <w:color w:val="000000"/>
      <w:kern w:val="28"/>
      <w:sz w:val="24"/>
      <w:szCs w:val="24"/>
      <w:lang w:val="en-CA" w:eastAsia="en-CA"/>
    </w:rPr>
  </w:style>
  <w:style w:type="paragraph" w:styleId="Header">
    <w:name w:val="header"/>
    <w:basedOn w:val="Normal"/>
    <w:link w:val="HeaderChar"/>
    <w:rsid w:val="007419D3"/>
    <w:pPr>
      <w:tabs>
        <w:tab w:val="center" w:pos="4320"/>
        <w:tab w:val="right" w:pos="8640"/>
      </w:tabs>
    </w:pPr>
    <w:rPr>
      <w:rFonts w:ascii="Garamond" w:eastAsia="Times New Roman" w:hAnsi="Garamond"/>
      <w:color w:val="008000"/>
      <w:w w:val="120"/>
      <w:lang w:val="en-CA"/>
    </w:rPr>
  </w:style>
  <w:style w:type="character" w:customStyle="1" w:styleId="HeaderChar">
    <w:name w:val="Header Char"/>
    <w:basedOn w:val="DefaultParagraphFont"/>
    <w:link w:val="Header"/>
    <w:rsid w:val="007419D3"/>
    <w:rPr>
      <w:rFonts w:ascii="Garamond" w:eastAsia="Times New Roman" w:hAnsi="Garamond"/>
      <w:color w:val="008000"/>
      <w:w w:val="120"/>
      <w:sz w:val="24"/>
      <w:szCs w:val="24"/>
      <w:lang w:val="en-CA" w:eastAsia="en-US"/>
    </w:rPr>
  </w:style>
  <w:style w:type="table" w:styleId="TableGrid">
    <w:name w:val="Table Grid"/>
    <w:basedOn w:val="TableNormal"/>
    <w:uiPriority w:val="59"/>
    <w:rsid w:val="000672BA"/>
    <w:rPr>
      <w:rFonts w:ascii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672BA"/>
    <w:rPr>
      <w:color w:val="800080" w:themeColor="followedHyperlink"/>
      <w:u w:val="single"/>
    </w:rPr>
  </w:style>
  <w:style w:type="paragraph" w:styleId="ListParagraph">
    <w:name w:val="List Paragraph"/>
    <w:basedOn w:val="Normal"/>
    <w:uiPriority w:val="34"/>
    <w:qFormat/>
    <w:rsid w:val="0086332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B04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04CC"/>
    <w:rPr>
      <w:rFonts w:ascii="Lucida Grande" w:hAnsi="Lucida Grande" w:cs="Lucida Grande"/>
      <w:sz w:val="18"/>
      <w:szCs w:val="18"/>
      <w:lang w:eastAsia="en-US"/>
    </w:rPr>
  </w:style>
  <w:style w:type="character" w:styleId="PageNumber">
    <w:name w:val="page number"/>
    <w:basedOn w:val="DefaultParagraphFont"/>
    <w:uiPriority w:val="99"/>
    <w:semiHidden/>
    <w:unhideWhenUsed/>
    <w:rsid w:val="006D1536"/>
  </w:style>
  <w:style w:type="paragraph" w:styleId="Footer">
    <w:name w:val="footer"/>
    <w:basedOn w:val="Normal"/>
    <w:link w:val="FooterChar"/>
    <w:uiPriority w:val="99"/>
    <w:unhideWhenUsed/>
    <w:rsid w:val="00622F15"/>
    <w:pPr>
      <w:tabs>
        <w:tab w:val="center" w:pos="4320"/>
        <w:tab w:val="right" w:pos="8640"/>
      </w:tabs>
    </w:pPr>
  </w:style>
  <w:style w:type="character" w:customStyle="1" w:styleId="FooterChar">
    <w:name w:val="Footer Char"/>
    <w:basedOn w:val="DefaultParagraphFont"/>
    <w:link w:val="Footer"/>
    <w:uiPriority w:val="99"/>
    <w:rsid w:val="00622F15"/>
    <w:rPr>
      <w:sz w:val="24"/>
      <w:szCs w:val="24"/>
      <w:lang w:eastAsia="en-US"/>
    </w:rPr>
  </w:style>
  <w:style w:type="paragraph" w:styleId="FootnoteText">
    <w:name w:val="footnote text"/>
    <w:basedOn w:val="Normal"/>
    <w:link w:val="FootnoteTextChar"/>
    <w:uiPriority w:val="99"/>
    <w:unhideWhenUsed/>
    <w:rsid w:val="00D20410"/>
  </w:style>
  <w:style w:type="character" w:customStyle="1" w:styleId="FootnoteTextChar">
    <w:name w:val="Footnote Text Char"/>
    <w:basedOn w:val="DefaultParagraphFont"/>
    <w:link w:val="FootnoteText"/>
    <w:uiPriority w:val="99"/>
    <w:rsid w:val="00D20410"/>
    <w:rPr>
      <w:lang w:eastAsia="en-US"/>
    </w:rPr>
  </w:style>
  <w:style w:type="character" w:styleId="FootnoteReference">
    <w:name w:val="footnote reference"/>
    <w:basedOn w:val="DefaultParagraphFont"/>
    <w:uiPriority w:val="99"/>
    <w:unhideWhenUsed/>
    <w:rsid w:val="00D20410"/>
    <w:rPr>
      <w:vertAlign w:val="superscript"/>
    </w:rPr>
  </w:style>
  <w:style w:type="paragraph" w:styleId="NormalWeb">
    <w:name w:val="Normal (Web)"/>
    <w:basedOn w:val="Normal"/>
    <w:uiPriority w:val="99"/>
    <w:semiHidden/>
    <w:unhideWhenUsed/>
    <w:rsid w:val="00B9018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2377</Words>
  <Characters>13549</Characters>
  <Application>Microsoft Macintosh Word</Application>
  <DocSecurity>0</DocSecurity>
  <Lines>112</Lines>
  <Paragraphs>31</Paragraphs>
  <ScaleCrop>false</ScaleCrop>
  <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Larach</dc:creator>
  <cp:keywords/>
  <dc:description/>
  <cp:lastModifiedBy>Marilyn Larach</cp:lastModifiedBy>
  <cp:revision>2</cp:revision>
  <cp:lastPrinted>2018-03-04T16:39:00Z</cp:lastPrinted>
  <dcterms:created xsi:type="dcterms:W3CDTF">2018-09-24T15:10:00Z</dcterms:created>
  <dcterms:modified xsi:type="dcterms:W3CDTF">2018-09-24T15:10:00Z</dcterms:modified>
</cp:coreProperties>
</file>