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BF4BD" w14:textId="33EB1F8F" w:rsidR="007A7118" w:rsidRPr="0086060B" w:rsidRDefault="0086060B" w:rsidP="007A7118">
      <w:pPr>
        <w:rPr>
          <w:b/>
          <w:i/>
          <w:sz w:val="28"/>
          <w:szCs w:val="28"/>
        </w:rPr>
      </w:pPr>
      <w:proofErr w:type="gramStart"/>
      <w:r w:rsidRPr="0086060B">
        <w:rPr>
          <w:b/>
          <w:sz w:val="28"/>
          <w:szCs w:val="28"/>
        </w:rPr>
        <w:t xml:space="preserve">Supplemental Digital Content </w:t>
      </w:r>
      <w:r w:rsidR="002A35A6" w:rsidRPr="00374F99">
        <w:rPr>
          <w:b/>
          <w:sz w:val="28"/>
          <w:szCs w:val="28"/>
        </w:rPr>
        <w:t>8</w:t>
      </w:r>
      <w:r w:rsidR="007A7118" w:rsidRPr="00374F99">
        <w:rPr>
          <w:b/>
          <w:sz w:val="28"/>
          <w:szCs w:val="28"/>
        </w:rPr>
        <w:t>.</w:t>
      </w:r>
      <w:proofErr w:type="gramEnd"/>
      <w:r w:rsidR="007A7118" w:rsidRPr="00374F99">
        <w:rPr>
          <w:b/>
          <w:sz w:val="28"/>
          <w:szCs w:val="28"/>
        </w:rPr>
        <w:t xml:space="preserve">  </w:t>
      </w:r>
      <w:r w:rsidR="002A35A6" w:rsidRPr="00374F99">
        <w:rPr>
          <w:b/>
          <w:sz w:val="28"/>
          <w:szCs w:val="28"/>
        </w:rPr>
        <w:t>Question 3b, (</w:t>
      </w:r>
      <w:r w:rsidRPr="00374F99">
        <w:rPr>
          <w:b/>
          <w:sz w:val="28"/>
          <w:szCs w:val="28"/>
        </w:rPr>
        <w:t>Query 7</w:t>
      </w:r>
      <w:r w:rsidR="002A35A6" w:rsidRPr="00374F99">
        <w:rPr>
          <w:b/>
          <w:sz w:val="28"/>
          <w:szCs w:val="28"/>
        </w:rPr>
        <w:t>)</w:t>
      </w:r>
      <w:r w:rsidRPr="00374F99">
        <w:rPr>
          <w:b/>
          <w:sz w:val="28"/>
          <w:szCs w:val="28"/>
        </w:rPr>
        <w:t>:</w:t>
      </w:r>
      <w:r w:rsidRPr="0086060B">
        <w:rPr>
          <w:b/>
          <w:sz w:val="28"/>
          <w:szCs w:val="28"/>
        </w:rPr>
        <w:t xml:space="preserve">  </w:t>
      </w:r>
      <w:r w:rsidR="007A7118" w:rsidRPr="0086060B">
        <w:rPr>
          <w:b/>
          <w:sz w:val="28"/>
          <w:szCs w:val="28"/>
        </w:rPr>
        <w:t xml:space="preserve">What is the </w:t>
      </w:r>
      <w:r w:rsidR="00A51E29">
        <w:rPr>
          <w:b/>
          <w:sz w:val="28"/>
          <w:szCs w:val="28"/>
        </w:rPr>
        <w:t>malignant hyperthermia (</w:t>
      </w:r>
      <w:r w:rsidR="007A7118" w:rsidRPr="0086060B">
        <w:rPr>
          <w:b/>
          <w:sz w:val="28"/>
          <w:szCs w:val="28"/>
        </w:rPr>
        <w:t>MH</w:t>
      </w:r>
      <w:r w:rsidR="00A51E29">
        <w:rPr>
          <w:b/>
          <w:sz w:val="28"/>
          <w:szCs w:val="28"/>
        </w:rPr>
        <w:t>)</w:t>
      </w:r>
      <w:r w:rsidR="007A7118" w:rsidRPr="0086060B">
        <w:rPr>
          <w:b/>
          <w:sz w:val="28"/>
          <w:szCs w:val="28"/>
        </w:rPr>
        <w:t xml:space="preserve"> mortality rate in the U.S. and Canada? </w:t>
      </w:r>
    </w:p>
    <w:p w14:paraId="45CEB3B2" w14:textId="2C0FC48B" w:rsidR="0001734C" w:rsidRDefault="00073C13">
      <w:r>
        <w:rPr>
          <w:noProof/>
        </w:rPr>
        <mc:AlternateContent>
          <mc:Choice Requires="wps">
            <w:drawing>
              <wp:anchor distT="36576" distB="36576" distL="36576" distR="36576" simplePos="0" relativeHeight="251711488" behindDoc="0" locked="0" layoutInCell="1" allowOverlap="1" wp14:anchorId="348D46B9" wp14:editId="2ADEFFB3">
                <wp:simplePos x="0" y="0"/>
                <wp:positionH relativeFrom="column">
                  <wp:posOffset>2743200</wp:posOffset>
                </wp:positionH>
                <wp:positionV relativeFrom="paragraph">
                  <wp:posOffset>4354830</wp:posOffset>
                </wp:positionV>
                <wp:extent cx="0" cy="576580"/>
                <wp:effectExtent l="63500" t="0" r="38100" b="33020"/>
                <wp:wrapNone/>
                <wp:docPr id="5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65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6D61F6D" id="_x0000_t32" coordsize="21600,21600" o:spt="32" o:oned="t" path="m,l21600,21600e" filled="f">
                <v:path arrowok="t" fillok="f" o:connecttype="none"/>
                <o:lock v:ext="edit" shapetype="t"/>
              </v:shapetype>
              <v:shape id="AutoShape 71" o:spid="_x0000_s1026" type="#_x0000_t32" style="position:absolute;margin-left:3in;margin-top:342.9pt;width:0;height:45.4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">
                <v:stroke endarrow="block"/>
                <o:lock v:ext="edit" shapetype="f"/>
              </v:shape>
            </w:pict>
          </mc:Fallback>
        </mc:AlternateContent>
      </w:r>
      <w:r>
        <w:rPr>
          <w:noProof/>
        </w:rPr>
        <mc:AlternateContent>
          <mc:Choice Requires="wps">
            <w:drawing>
              <wp:anchor distT="36576" distB="36576" distL="36576" distR="36576" simplePos="0" relativeHeight="251710464" behindDoc="0" locked="0" layoutInCell="1" allowOverlap="1" wp14:anchorId="48043D5C" wp14:editId="65B2C943">
                <wp:simplePos x="0" y="0"/>
                <wp:positionH relativeFrom="column">
                  <wp:posOffset>2743200</wp:posOffset>
                </wp:positionH>
                <wp:positionV relativeFrom="paragraph">
                  <wp:posOffset>2640330</wp:posOffset>
                </wp:positionV>
                <wp:extent cx="22225" cy="914400"/>
                <wp:effectExtent l="38100" t="0" r="41275" b="38100"/>
                <wp:wrapNone/>
                <wp:docPr id="5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25" cy="9144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DAE2A6" id="AutoShape 70" o:spid="_x0000_s1026" type="#_x0000_t32" style="position:absolute;margin-left:3in;margin-top:207.9pt;width:1.75pt;height:1in;z-index:251710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">
                <v:stroke endarrow="block"/>
                <o:lock v:ext="edit" shapetype="f"/>
              </v:shape>
            </w:pict>
          </mc:Fallback>
        </mc:AlternateContent>
      </w:r>
      <w:r>
        <w:rPr>
          <w:noProof/>
        </w:rPr>
        <mc:AlternateContent>
          <mc:Choice Requires="wps">
            <w:drawing>
              <wp:anchor distT="36576" distB="36576" distL="36576" distR="36576" simplePos="0" relativeHeight="251712512" behindDoc="0" locked="0" layoutInCell="1" allowOverlap="1" wp14:anchorId="16DFFD30" wp14:editId="2A00D8DB">
                <wp:simplePos x="0" y="0"/>
                <wp:positionH relativeFrom="column">
                  <wp:posOffset>3429000</wp:posOffset>
                </wp:positionH>
                <wp:positionV relativeFrom="paragraph">
                  <wp:posOffset>4002405</wp:posOffset>
                </wp:positionV>
                <wp:extent cx="800100" cy="9525"/>
                <wp:effectExtent l="0" t="63500" r="0" b="66675"/>
                <wp:wrapNone/>
                <wp:docPr id="5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00100" cy="9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3DC3E3" id="AutoShape 72" o:spid="_x0000_s1026" type="#_x0000_t32" style="position:absolute;margin-left:270pt;margin-top:315.15pt;width:63pt;height:.75pt;flip:y;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">
                <v:stroke endarrow="block"/>
                <o:lock v:ext="edit" shapetype="f"/>
              </v:shape>
            </w:pict>
          </mc:Fallback>
        </mc:AlternateContent>
      </w:r>
      <w:r>
        <w:rPr>
          <w:noProof/>
        </w:rPr>
        <mc:AlternateContent>
          <mc:Choice Requires="wps">
            <w:drawing>
              <wp:anchor distT="0" distB="0" distL="114300" distR="114300" simplePos="0" relativeHeight="251707392" behindDoc="0" locked="0" layoutInCell="1" allowOverlap="1" wp14:anchorId="5A73CED9" wp14:editId="6B565068">
                <wp:simplePos x="0" y="0"/>
                <wp:positionH relativeFrom="column">
                  <wp:posOffset>1714500</wp:posOffset>
                </wp:positionH>
                <wp:positionV relativeFrom="paragraph">
                  <wp:posOffset>3554730</wp:posOffset>
                </wp:positionV>
                <wp:extent cx="1714500" cy="795020"/>
                <wp:effectExtent l="0" t="0" r="12700" b="17780"/>
                <wp:wrapNone/>
                <wp:docPr id="4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795020"/>
                        </a:xfrm>
                        <a:prstGeom prst="rect">
                          <a:avLst/>
                        </a:prstGeom>
                        <a:solidFill>
                          <a:srgbClr val="FFFFFF"/>
                        </a:solidFill>
                        <a:ln w="9525">
                          <a:solidFill>
                            <a:srgbClr val="000000"/>
                          </a:solidFill>
                          <a:miter lim="800000"/>
                          <a:headEnd/>
                          <a:tailEnd/>
                        </a:ln>
                      </wps:spPr>
                      <wps:txbx>
                        <w:txbxContent>
                          <w:p w14:paraId="50C35334" w14:textId="77777777" w:rsidR="00A51E29" w:rsidRDefault="00A51E29" w:rsidP="0001734C">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=16)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73CED9" id="Rectangle 67" o:spid="_x0000_s1026" style="position:absolute;margin-left:135pt;margin-top:279.9pt;width:135pt;height:62.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">
                <v:path arrowok="t"/>
                <v:textbox inset=",7.2pt,,7.2pt">
                  <w:txbxContent>
                    <w:p w14:paraId="50C35334" w14:textId="77777777" w:rsidR="00A51E29" w:rsidRDefault="00A51E29" w:rsidP="0001734C">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=16)</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6EF70F41" wp14:editId="17111206">
                <wp:simplePos x="0" y="0"/>
                <wp:positionH relativeFrom="column">
                  <wp:posOffset>1828800</wp:posOffset>
                </wp:positionH>
                <wp:positionV relativeFrom="paragraph">
                  <wp:posOffset>4926330</wp:posOffset>
                </wp:positionV>
                <wp:extent cx="1714500" cy="685800"/>
                <wp:effectExtent l="0" t="0" r="12700" b="12700"/>
                <wp:wrapNone/>
                <wp:docPr id="4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0DC8C96B" w14:textId="77777777" w:rsidR="00A51E29" w:rsidRDefault="00A51E29" w:rsidP="0001734C">
                            <w:pPr>
                              <w:jc w:val="center"/>
                              <w:rPr>
                                <w:rFonts w:ascii="Calibri" w:hAnsi="Calibri"/>
                                <w:sz w:val="22"/>
                                <w:szCs w:val="22"/>
                                <w:lang w:val="en"/>
                              </w:rPr>
                            </w:pPr>
                            <w:r>
                              <w:rPr>
                                <w:rFonts w:ascii="Calibri" w:hAnsi="Calibri"/>
                                <w:sz w:val="22"/>
                                <w:szCs w:val="22"/>
                              </w:rPr>
                              <w:t xml:space="preserve">Studies included in qualitative synthesis </w:t>
                            </w:r>
                            <w:r>
                              <w:rPr>
                                <w:rFonts w:ascii="Calibri" w:hAnsi="Calibri"/>
                                <w:sz w:val="22"/>
                                <w:szCs w:val="22"/>
                              </w:rPr>
                              <w:br/>
                              <w:t>(n = 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F70F41" id="Rectangle 69" o:spid="_x0000_s1027" style="position:absolute;margin-left:2in;margin-top:387.9pt;width:135pt;height: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">
                <v:path arrowok="t"/>
                <v:textbox inset=",7.2pt,,7.2pt">
                  <w:txbxContent>
                    <w:p w14:paraId="0DC8C96B" w14:textId="77777777" w:rsidR="00A51E29" w:rsidRDefault="00A51E29" w:rsidP="0001734C">
                      <w:pPr>
                        <w:jc w:val="center"/>
                        <w:rPr>
                          <w:rFonts w:ascii="Calibri" w:hAnsi="Calibri"/>
                          <w:sz w:val="22"/>
                          <w:szCs w:val="22"/>
                          <w:lang w:val="en"/>
                        </w:rPr>
                      </w:pPr>
                      <w:r>
                        <w:rPr>
                          <w:rFonts w:ascii="Calibri" w:hAnsi="Calibri"/>
                          <w:sz w:val="22"/>
                          <w:szCs w:val="22"/>
                        </w:rPr>
                        <w:t xml:space="preserve">Studies included in qualitative synthesis </w:t>
                      </w:r>
                      <w:r>
                        <w:rPr>
                          <w:rFonts w:ascii="Calibri" w:hAnsi="Calibri"/>
                          <w:sz w:val="22"/>
                          <w:szCs w:val="22"/>
                        </w:rPr>
                        <w:br/>
                        <w:t>(n = 7)</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04ED28C1" wp14:editId="19412CE9">
                <wp:simplePos x="0" y="0"/>
                <wp:positionH relativeFrom="column">
                  <wp:posOffset>342900</wp:posOffset>
                </wp:positionH>
                <wp:positionV relativeFrom="paragraph">
                  <wp:posOffset>468630</wp:posOffset>
                </wp:positionV>
                <wp:extent cx="2228850" cy="873125"/>
                <wp:effectExtent l="0" t="0" r="19050" b="15875"/>
                <wp:wrapNone/>
                <wp:docPr id="4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873125"/>
                        </a:xfrm>
                        <a:prstGeom prst="rect">
                          <a:avLst/>
                        </a:prstGeom>
                        <a:solidFill>
                          <a:srgbClr val="FFFFFF"/>
                        </a:solidFill>
                        <a:ln w="9525">
                          <a:solidFill>
                            <a:srgbClr val="000000"/>
                          </a:solidFill>
                          <a:miter lim="800000"/>
                          <a:headEnd/>
                          <a:tailEnd/>
                        </a:ln>
                      </wps:spPr>
                      <wps:txbx>
                        <w:txbxContent>
                          <w:p w14:paraId="3EAB42EF" w14:textId="77777777" w:rsidR="00A51E29" w:rsidRDefault="00A51E29" w:rsidP="0001734C">
                            <w:pPr>
                              <w:jc w:val="center"/>
                              <w:rPr>
                                <w:rFonts w:ascii="Calibri" w:hAnsi="Calibri"/>
                                <w:sz w:val="22"/>
                                <w:szCs w:val="22"/>
                                <w:lang w:val="en"/>
                              </w:rPr>
                            </w:pPr>
                            <w:r>
                              <w:rPr>
                                <w:rFonts w:ascii="Calibri" w:hAnsi="Calibri"/>
                                <w:sz w:val="22"/>
                                <w:szCs w:val="22"/>
                              </w:rPr>
                              <w:t xml:space="preserve">Records identified through PubMed database </w:t>
                            </w:r>
                            <w:r>
                              <w:rPr>
                                <w:rFonts w:ascii="Calibri" w:hAnsi="Calibri"/>
                                <w:sz w:val="22"/>
                                <w:szCs w:val="22"/>
                              </w:rPr>
                              <w:br/>
                              <w:t>(n =122)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ED28C1" id="Rectangle 58" o:spid="_x0000_s1028" style="position:absolute;margin-left:27pt;margin-top:36.9pt;width:175.5pt;height:6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">
                <v:path arrowok="t"/>
                <v:textbox inset=",7.2pt,,7.2pt">
                  <w:txbxContent>
                    <w:p w14:paraId="3EAB42EF" w14:textId="77777777" w:rsidR="00A51E29" w:rsidRDefault="00A51E29" w:rsidP="0001734C">
                      <w:pPr>
                        <w:jc w:val="center"/>
                        <w:rPr>
                          <w:rFonts w:ascii="Calibri" w:hAnsi="Calibri"/>
                          <w:sz w:val="22"/>
                          <w:szCs w:val="22"/>
                          <w:lang w:val="en"/>
                        </w:rPr>
                      </w:pPr>
                      <w:r>
                        <w:rPr>
                          <w:rFonts w:ascii="Calibri" w:hAnsi="Calibri"/>
                          <w:sz w:val="22"/>
                          <w:szCs w:val="22"/>
                        </w:rPr>
                        <w:t xml:space="preserve">Records identified through PubMed database </w:t>
                      </w:r>
                      <w:r>
                        <w:rPr>
                          <w:rFonts w:ascii="Calibri" w:hAnsi="Calibri"/>
                          <w:sz w:val="22"/>
                          <w:szCs w:val="22"/>
                        </w:rPr>
                        <w:br/>
                        <w:t>(n =122)</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7464B458" wp14:editId="56677BAB">
                <wp:simplePos x="0" y="0"/>
                <wp:positionH relativeFrom="column">
                  <wp:posOffset>2971800</wp:posOffset>
                </wp:positionH>
                <wp:positionV relativeFrom="paragraph">
                  <wp:posOffset>468630</wp:posOffset>
                </wp:positionV>
                <wp:extent cx="2228850" cy="876300"/>
                <wp:effectExtent l="0" t="0" r="19050" b="12700"/>
                <wp:wrapNone/>
                <wp:docPr id="4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876300"/>
                        </a:xfrm>
                        <a:prstGeom prst="rect">
                          <a:avLst/>
                        </a:prstGeom>
                        <a:solidFill>
                          <a:srgbClr val="FFFFFF"/>
                        </a:solidFill>
                        <a:ln w="9525">
                          <a:solidFill>
                            <a:srgbClr val="000000"/>
                          </a:solidFill>
                          <a:miter lim="800000"/>
                          <a:headEnd/>
                          <a:tailEnd/>
                        </a:ln>
                      </wps:spPr>
                      <wps:txbx>
                        <w:txbxContent>
                          <w:p w14:paraId="18D34D54" w14:textId="77777777" w:rsidR="00A51E29" w:rsidRDefault="00A51E29" w:rsidP="0001734C">
                            <w:pPr>
                              <w:jc w:val="center"/>
                              <w:rPr>
                                <w:rFonts w:ascii="Calibri" w:hAnsi="Calibri"/>
                                <w:sz w:val="22"/>
                                <w:szCs w:val="22"/>
                              </w:rPr>
                            </w:pPr>
                            <w:r>
                              <w:rPr>
                                <w:rFonts w:ascii="Calibri" w:hAnsi="Calibri"/>
                                <w:sz w:val="22"/>
                                <w:szCs w:val="22"/>
                              </w:rPr>
                              <w:t xml:space="preserve">Additional records identified through </w:t>
                            </w:r>
                            <w:proofErr w:type="spellStart"/>
                            <w:r>
                              <w:rPr>
                                <w:rFonts w:ascii="Calibri" w:hAnsi="Calibri"/>
                                <w:sz w:val="22"/>
                                <w:szCs w:val="22"/>
                              </w:rPr>
                              <w:t>Embase</w:t>
                            </w:r>
                            <w:proofErr w:type="spellEnd"/>
                            <w:r>
                              <w:rPr>
                                <w:rFonts w:ascii="Calibri" w:hAnsi="Calibri"/>
                                <w:sz w:val="22"/>
                                <w:szCs w:val="22"/>
                              </w:rPr>
                              <w:t xml:space="preserve">/MEDLINE </w:t>
                            </w:r>
                          </w:p>
                          <w:p w14:paraId="7D4A410A" w14:textId="77777777" w:rsidR="00A51E29" w:rsidRDefault="00A51E29" w:rsidP="0001734C">
                            <w:pPr>
                              <w:jc w:val="center"/>
                              <w:rPr>
                                <w:rFonts w:ascii="Calibri" w:hAnsi="Calibri"/>
                                <w:sz w:val="22"/>
                                <w:szCs w:val="22"/>
                                <w:lang w:val="en"/>
                              </w:rPr>
                            </w:pPr>
                            <w:r>
                              <w:rPr>
                                <w:rFonts w:ascii="Calibri" w:hAnsi="Calibri"/>
                                <w:sz w:val="22"/>
                                <w:szCs w:val="22"/>
                              </w:rPr>
                              <w:t>(</w:t>
                            </w:r>
                            <w:proofErr w:type="gramStart"/>
                            <w:r>
                              <w:rPr>
                                <w:rFonts w:ascii="Calibri" w:hAnsi="Calibri"/>
                                <w:sz w:val="22"/>
                                <w:szCs w:val="22"/>
                              </w:rPr>
                              <w:t>n</w:t>
                            </w:r>
                            <w:proofErr w:type="gramEnd"/>
                            <w:r>
                              <w:rPr>
                                <w:rFonts w:ascii="Calibri" w:hAnsi="Calibri"/>
                                <w:sz w:val="22"/>
                                <w:szCs w:val="22"/>
                              </w:rPr>
                              <w:t>=221)</w:t>
                            </w:r>
                            <w:r>
                              <w:rPr>
                                <w:rFonts w:ascii="Calibri" w:hAnsi="Calibri"/>
                                <w:sz w:val="22"/>
                                <w:szCs w:val="22"/>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64B458" id="Rectangle 65" o:spid="_x0000_s1029" style="position:absolute;margin-left:234pt;margin-top:36.9pt;width:175.5pt;height:6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">
                <v:path arrowok="t"/>
                <v:textbox inset=",7.2pt,,7.2pt">
                  <w:txbxContent>
                    <w:p w14:paraId="18D34D54" w14:textId="77777777" w:rsidR="00A51E29" w:rsidRDefault="00A51E29" w:rsidP="0001734C">
                      <w:pPr>
                        <w:jc w:val="center"/>
                        <w:rPr>
                          <w:rFonts w:ascii="Calibri" w:hAnsi="Calibri"/>
                          <w:sz w:val="22"/>
                          <w:szCs w:val="22"/>
                        </w:rPr>
                      </w:pPr>
                      <w:r>
                        <w:rPr>
                          <w:rFonts w:ascii="Calibri" w:hAnsi="Calibri"/>
                          <w:sz w:val="22"/>
                          <w:szCs w:val="22"/>
                        </w:rPr>
                        <w:t xml:space="preserve">Additional records identified through Embase/MEDLINE </w:t>
                      </w:r>
                    </w:p>
                    <w:p w14:paraId="7D4A410A" w14:textId="77777777" w:rsidR="00A51E29" w:rsidRDefault="00A51E29" w:rsidP="0001734C">
                      <w:pPr>
                        <w:jc w:val="center"/>
                        <w:rPr>
                          <w:rFonts w:ascii="Calibri" w:hAnsi="Calibri"/>
                          <w:sz w:val="22"/>
                          <w:szCs w:val="22"/>
                          <w:lang w:val="en"/>
                        </w:rPr>
                      </w:pPr>
                      <w:r>
                        <w:rPr>
                          <w:rFonts w:ascii="Calibri" w:hAnsi="Calibri"/>
                          <w:sz w:val="22"/>
                          <w:szCs w:val="22"/>
                        </w:rPr>
                        <w:t>(n=221)</w:t>
                      </w:r>
                      <w:r>
                        <w:rPr>
                          <w:rFonts w:ascii="Calibri" w:hAnsi="Calibri"/>
                          <w:sz w:val="22"/>
                          <w:szCs w:val="22"/>
                        </w:rPr>
                        <w:br/>
                      </w:r>
                    </w:p>
                  </w:txbxContent>
                </v:textbox>
              </v:rect>
            </w:pict>
          </mc:Fallback>
        </mc:AlternateContent>
      </w:r>
      <w:r>
        <w:rPr>
          <w:noProof/>
        </w:rPr>
        <mc:AlternateContent>
          <mc:Choice Requires="wps">
            <w:drawing>
              <wp:anchor distT="36576" distB="36576" distL="36576" distR="36576" simplePos="0" relativeHeight="251702272" behindDoc="0" locked="0" layoutInCell="1" allowOverlap="1" wp14:anchorId="5B0037F2" wp14:editId="326F1D2D">
                <wp:simplePos x="0" y="0"/>
                <wp:positionH relativeFrom="column">
                  <wp:posOffset>1600200</wp:posOffset>
                </wp:positionH>
                <wp:positionV relativeFrom="paragraph">
                  <wp:posOffset>1402080</wp:posOffset>
                </wp:positionV>
                <wp:extent cx="0" cy="457200"/>
                <wp:effectExtent l="63500" t="0" r="63500" b="38100"/>
                <wp:wrapNone/>
                <wp:docPr id="4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BC80A6" id="AutoShape 62" o:spid="_x0000_s1026" type="#_x0000_t32" style="position:absolute;margin-left:126pt;margin-top:110.4pt;width:0;height:36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">
                <v:stroke endarrow="block"/>
                <o:lock v:ext="edit" shapetype="f"/>
              </v:shape>
            </w:pict>
          </mc:Fallback>
        </mc:AlternateContent>
      </w:r>
      <w:r>
        <w:rPr>
          <w:noProof/>
        </w:rPr>
        <mc:AlternateContent>
          <mc:Choice Requires="wps">
            <w:drawing>
              <wp:anchor distT="36576" distB="36576" distL="36576" distR="36576" simplePos="0" relativeHeight="251703296" behindDoc="0" locked="0" layoutInCell="1" allowOverlap="1" wp14:anchorId="6BBF0E27" wp14:editId="1B8EE0F6">
                <wp:simplePos x="0" y="0"/>
                <wp:positionH relativeFrom="column">
                  <wp:posOffset>3886200</wp:posOffset>
                </wp:positionH>
                <wp:positionV relativeFrom="paragraph">
                  <wp:posOffset>1402080</wp:posOffset>
                </wp:positionV>
                <wp:extent cx="0" cy="457200"/>
                <wp:effectExtent l="63500" t="0" r="63500" b="38100"/>
                <wp:wrapNone/>
                <wp:docPr id="4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2A009C" id="AutoShape 63" o:spid="_x0000_s1026" type="#_x0000_t32" style="position:absolute;margin-left:306pt;margin-top:110.4pt;width:0;height:36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">
                <v:stroke endarrow="block"/>
                <o:lock v:ext="edit" shapetype="f"/>
              </v:shape>
            </w:pict>
          </mc:Fallback>
        </mc:AlternateContent>
      </w:r>
      <w:r>
        <w:rPr>
          <w:noProof/>
        </w:rPr>
        <mc:AlternateContent>
          <mc:Choice Requires="wps">
            <w:drawing>
              <wp:anchor distT="0" distB="0" distL="114300" distR="114300" simplePos="0" relativeHeight="251706368" behindDoc="0" locked="0" layoutInCell="1" allowOverlap="1" wp14:anchorId="5358FB55" wp14:editId="17AECE0A">
                <wp:simplePos x="0" y="0"/>
                <wp:positionH relativeFrom="column">
                  <wp:posOffset>1356995</wp:posOffset>
                </wp:positionH>
                <wp:positionV relativeFrom="paragraph">
                  <wp:posOffset>1849755</wp:posOffset>
                </wp:positionV>
                <wp:extent cx="2771775" cy="676275"/>
                <wp:effectExtent l="0" t="0" r="9525" b="9525"/>
                <wp:wrapNone/>
                <wp:docPr id="2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775" cy="676275"/>
                        </a:xfrm>
                        <a:prstGeom prst="rect">
                          <a:avLst/>
                        </a:prstGeom>
                        <a:solidFill>
                          <a:srgbClr val="FFFFFF"/>
                        </a:solidFill>
                        <a:ln w="9525">
                          <a:solidFill>
                            <a:srgbClr val="000000"/>
                          </a:solidFill>
                          <a:miter lim="800000"/>
                          <a:headEnd/>
                          <a:tailEnd/>
                        </a:ln>
                      </wps:spPr>
                      <wps:txbx>
                        <w:txbxContent>
                          <w:p w14:paraId="46F3EB25" w14:textId="77777777" w:rsidR="00A51E29" w:rsidRDefault="00A51E29" w:rsidP="0001734C">
                            <w:pPr>
                              <w:jc w:val="center"/>
                              <w:rPr>
                                <w:rFonts w:ascii="Calibri" w:hAnsi="Calibri"/>
                                <w:sz w:val="22"/>
                                <w:szCs w:val="22"/>
                              </w:rPr>
                            </w:pPr>
                            <w:r>
                              <w:rPr>
                                <w:rFonts w:ascii="Calibri" w:hAnsi="Calibri"/>
                                <w:sz w:val="22"/>
                                <w:szCs w:val="22"/>
                              </w:rPr>
                              <w:t xml:space="preserve">Records after duplicates removed </w:t>
                            </w:r>
                          </w:p>
                          <w:p w14:paraId="1690D54B" w14:textId="77777777" w:rsidR="00A51E29" w:rsidRDefault="00A51E29" w:rsidP="0001734C">
                            <w:pPr>
                              <w:jc w:val="center"/>
                              <w:rPr>
                                <w:rFonts w:ascii="Calibri" w:hAnsi="Calibri"/>
                                <w:sz w:val="22"/>
                                <w:szCs w:val="22"/>
                              </w:rPr>
                            </w:pPr>
                            <w:r>
                              <w:rPr>
                                <w:rFonts w:ascii="Calibri" w:hAnsi="Calibri"/>
                                <w:sz w:val="22"/>
                                <w:szCs w:val="22"/>
                              </w:rPr>
                              <w:t>(</w:t>
                            </w:r>
                            <w:proofErr w:type="gramStart"/>
                            <w:r>
                              <w:rPr>
                                <w:rFonts w:ascii="Calibri" w:hAnsi="Calibri"/>
                                <w:sz w:val="22"/>
                                <w:szCs w:val="22"/>
                              </w:rPr>
                              <w:t>n</w:t>
                            </w:r>
                            <w:proofErr w:type="gramEnd"/>
                            <w:r>
                              <w:rPr>
                                <w:rFonts w:ascii="Calibri" w:hAnsi="Calibri"/>
                                <w:sz w:val="22"/>
                                <w:szCs w:val="22"/>
                              </w:rPr>
                              <w:t>=272)</w:t>
                            </w:r>
                          </w:p>
                          <w:p w14:paraId="4D535278" w14:textId="77777777" w:rsidR="00A51E29" w:rsidRDefault="00A51E29" w:rsidP="0001734C">
                            <w:pPr>
                              <w:jc w:val="center"/>
                              <w:rPr>
                                <w:rFonts w:ascii="Calibri" w:hAnsi="Calibri"/>
                                <w:sz w:val="22"/>
                                <w:szCs w:val="22"/>
                                <w:lang w:val="en"/>
                              </w:rPr>
                            </w:pPr>
                            <w:r>
                              <w:rPr>
                                <w:rFonts w:ascii="Calibri" w:hAnsi="Calibri"/>
                                <w:sz w:val="22"/>
                                <w:szCs w:val="22"/>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58FB55" id="Rectangle 66" o:spid="_x0000_s1030" style="position:absolute;margin-left:106.85pt;margin-top:145.65pt;width:218.25pt;height:5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">
                <v:path arrowok="t"/>
                <v:textbox inset=",7.2pt,,7.2pt">
                  <w:txbxContent>
                    <w:p w14:paraId="46F3EB25" w14:textId="77777777" w:rsidR="00A51E29" w:rsidRDefault="00A51E29" w:rsidP="0001734C">
                      <w:pPr>
                        <w:jc w:val="center"/>
                        <w:rPr>
                          <w:rFonts w:ascii="Calibri" w:hAnsi="Calibri"/>
                          <w:sz w:val="22"/>
                          <w:szCs w:val="22"/>
                        </w:rPr>
                      </w:pPr>
                      <w:r>
                        <w:rPr>
                          <w:rFonts w:ascii="Calibri" w:hAnsi="Calibri"/>
                          <w:sz w:val="22"/>
                          <w:szCs w:val="22"/>
                        </w:rPr>
                        <w:t xml:space="preserve">Records after duplicates removed </w:t>
                      </w:r>
                    </w:p>
                    <w:p w14:paraId="1690D54B" w14:textId="77777777" w:rsidR="00A51E29" w:rsidRDefault="00A51E29" w:rsidP="0001734C">
                      <w:pPr>
                        <w:jc w:val="center"/>
                        <w:rPr>
                          <w:rFonts w:ascii="Calibri" w:hAnsi="Calibri"/>
                          <w:sz w:val="22"/>
                          <w:szCs w:val="22"/>
                        </w:rPr>
                      </w:pPr>
                      <w:r>
                        <w:rPr>
                          <w:rFonts w:ascii="Calibri" w:hAnsi="Calibri"/>
                          <w:sz w:val="22"/>
                          <w:szCs w:val="22"/>
                        </w:rPr>
                        <w:t>(n=272)</w:t>
                      </w:r>
                    </w:p>
                    <w:p w14:paraId="4D535278" w14:textId="77777777" w:rsidR="00A51E29" w:rsidRDefault="00A51E29" w:rsidP="0001734C">
                      <w:pPr>
                        <w:jc w:val="center"/>
                        <w:rPr>
                          <w:rFonts w:ascii="Calibri" w:hAnsi="Calibri"/>
                          <w:sz w:val="22"/>
                          <w:szCs w:val="22"/>
                          <w:lang w:val="en"/>
                        </w:rPr>
                      </w:pPr>
                      <w:r>
                        <w:rPr>
                          <w:rFonts w:ascii="Calibri" w:hAnsi="Calibri"/>
                          <w:sz w:val="22"/>
                          <w:szCs w:val="22"/>
                        </w:rPr>
                        <w:br/>
                      </w:r>
                    </w:p>
                  </w:txbxContent>
                </v:textbox>
              </v:rect>
            </w:pict>
          </mc:Fallback>
        </mc:AlternateContent>
      </w:r>
      <w:r>
        <w:rPr>
          <w:noProof/>
        </w:rPr>
        <mc:AlternateContent>
          <mc:Choice Requires="wps">
            <w:drawing>
              <wp:anchor distT="0" distB="0" distL="114300" distR="114300" simplePos="0" relativeHeight="251700224" behindDoc="0" locked="0" layoutInCell="1" allowOverlap="1" wp14:anchorId="2823072A" wp14:editId="62D68C34">
                <wp:simplePos x="0" y="0"/>
                <wp:positionH relativeFrom="column">
                  <wp:posOffset>-818515</wp:posOffset>
                </wp:positionH>
                <wp:positionV relativeFrom="paragraph">
                  <wp:posOffset>5163820</wp:posOffset>
                </wp:positionV>
                <wp:extent cx="1019175" cy="297180"/>
                <wp:effectExtent l="5398" t="0" r="14922" b="14923"/>
                <wp:wrapNone/>
                <wp:docPr id="21"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19175" cy="297180"/>
                        </a:xfrm>
                        <a:prstGeom prst="roundRect">
                          <a:avLst>
                            <a:gd name="adj" fmla="val 16667"/>
                          </a:avLst>
                        </a:prstGeom>
                        <a:solidFill>
                          <a:srgbClr val="CCECFF"/>
                        </a:solidFill>
                        <a:ln w="9525">
                          <a:solidFill>
                            <a:srgbClr val="000000"/>
                          </a:solidFill>
                          <a:round/>
                          <a:headEnd/>
                          <a:tailEnd/>
                        </a:ln>
                      </wps:spPr>
                      <wps:txbx>
                        <w:txbxContent>
                          <w:p w14:paraId="745C6F08" w14:textId="77777777" w:rsidR="00A51E29" w:rsidRDefault="00A51E29" w:rsidP="0001734C">
                            <w:pPr>
                              <w:pStyle w:val="Heading2"/>
                              <w:keepNext/>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823072A" id="AutoShape 60" o:spid="_x0000_s1031" style="position:absolute;margin-left:-64.45pt;margin-top:406.6pt;width:80.25pt;height:23.4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" fillcolor="#ccecff">
                <v:path arrowok="t"/>
                <v:textbox style="layout-flow:vertical;mso-layout-flow-alt:bottom-to-top" inset="3.6pt,,3.6pt">
                  <w:txbxContent>
                    <w:p w14:paraId="745C6F08" w14:textId="77777777" w:rsidR="00A51E29" w:rsidRDefault="00A51E29" w:rsidP="0001734C">
                      <w:pPr>
                        <w:pStyle w:val="Heading2"/>
                        <w:keepNext/>
                        <w:rPr>
                          <w:rFonts w:ascii="Calibri" w:hAnsi="Calibri"/>
                          <w:lang w:val="en"/>
                        </w:rPr>
                      </w:pPr>
                      <w:r>
                        <w:rPr>
                          <w:rFonts w:ascii="Calibri" w:hAnsi="Calibri"/>
                          <w:lang w:val="en"/>
                        </w:rPr>
                        <w:t>Included</w:t>
                      </w:r>
                    </w:p>
                  </w:txbxContent>
                </v:textbox>
              </v:roundrect>
            </w:pict>
          </mc:Fallback>
        </mc:AlternateContent>
      </w:r>
      <w:r>
        <w:rPr>
          <w:noProof/>
        </w:rPr>
        <mc:AlternateContent>
          <mc:Choice Requires="wps">
            <w:drawing>
              <wp:anchor distT="0" distB="0" distL="114300" distR="114300" simplePos="0" relativeHeight="251701248" behindDoc="0" locked="0" layoutInCell="1" allowOverlap="1" wp14:anchorId="5BCD9EB3" wp14:editId="7A4E23DF">
                <wp:simplePos x="0" y="0"/>
                <wp:positionH relativeFrom="column">
                  <wp:posOffset>-994410</wp:posOffset>
                </wp:positionH>
                <wp:positionV relativeFrom="paragraph">
                  <wp:posOffset>3834765</wp:posOffset>
                </wp:positionV>
                <wp:extent cx="1371600" cy="297180"/>
                <wp:effectExtent l="3810" t="0" r="16510" b="16510"/>
                <wp:wrapNone/>
                <wp:docPr id="2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7523DF92" w14:textId="77777777" w:rsidR="00A51E29" w:rsidRDefault="00A51E29" w:rsidP="0001734C">
                            <w:pPr>
                              <w:pStyle w:val="Heading2"/>
                              <w:keepNext/>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BCD9EB3" id="AutoShape 61" o:spid="_x0000_s1032" style="position:absolute;margin-left:-78.3pt;margin-top:301.95pt;width:108pt;height:23.4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" fillcolor="#ccecff">
                <v:path arrowok="t"/>
                <v:textbox style="layout-flow:vertical;mso-layout-flow-alt:bottom-to-top" inset="3.6pt,,3.6pt">
                  <w:txbxContent>
                    <w:p w14:paraId="7523DF92" w14:textId="77777777" w:rsidR="00A51E29" w:rsidRDefault="00A51E29" w:rsidP="0001734C">
                      <w:pPr>
                        <w:pStyle w:val="Heading2"/>
                        <w:keepNext/>
                        <w:rPr>
                          <w:rFonts w:ascii="Calibri" w:hAnsi="Calibri"/>
                          <w:sz w:val="22"/>
                          <w:szCs w:val="22"/>
                          <w:lang w:val="en"/>
                        </w:rPr>
                      </w:pPr>
                      <w:r>
                        <w:rPr>
                          <w:rFonts w:ascii="Calibri" w:hAnsi="Calibri"/>
                          <w:sz w:val="22"/>
                          <w:szCs w:val="22"/>
                          <w:lang w:val="en"/>
                        </w:rPr>
                        <w:t>Eligibility</w:t>
                      </w:r>
                    </w:p>
                  </w:txbxContent>
                </v:textbox>
              </v:roundrect>
            </w:pict>
          </mc:Fallback>
        </mc:AlternateContent>
      </w:r>
      <w:r>
        <w:rPr>
          <w:noProof/>
        </w:rPr>
        <mc:AlternateContent>
          <mc:Choice Requires="wps">
            <w:drawing>
              <wp:anchor distT="0" distB="0" distL="114300" distR="114300" simplePos="0" relativeHeight="251699200" behindDoc="0" locked="0" layoutInCell="1" allowOverlap="1" wp14:anchorId="22C322F7" wp14:editId="3321286F">
                <wp:simplePos x="0" y="0"/>
                <wp:positionH relativeFrom="column">
                  <wp:posOffset>-1056640</wp:posOffset>
                </wp:positionH>
                <wp:positionV relativeFrom="paragraph">
                  <wp:posOffset>2306320</wp:posOffset>
                </wp:positionV>
                <wp:extent cx="1495425" cy="297180"/>
                <wp:effectExtent l="2223" t="0" r="18097" b="18098"/>
                <wp:wrapNone/>
                <wp:docPr id="1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95425" cy="297180"/>
                        </a:xfrm>
                        <a:prstGeom prst="roundRect">
                          <a:avLst>
                            <a:gd name="adj" fmla="val 16667"/>
                          </a:avLst>
                        </a:prstGeom>
                        <a:solidFill>
                          <a:srgbClr val="CCECFF"/>
                        </a:solidFill>
                        <a:ln w="9525">
                          <a:solidFill>
                            <a:srgbClr val="000000"/>
                          </a:solidFill>
                          <a:round/>
                          <a:headEnd/>
                          <a:tailEnd/>
                        </a:ln>
                      </wps:spPr>
                      <wps:txbx>
                        <w:txbxContent>
                          <w:p w14:paraId="77D5A8C9" w14:textId="77777777" w:rsidR="00A51E29" w:rsidRDefault="00A51E29" w:rsidP="0001734C">
                            <w:pPr>
                              <w:pStyle w:val="Heading2"/>
                              <w:keepNext/>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2C322F7" id="AutoShape 59" o:spid="_x0000_s1033" style="position:absolute;margin-left:-83.2pt;margin-top:181.6pt;width:117.75pt;height:23.4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" fillcolor="#ccecff">
                <v:path arrowok="t"/>
                <v:textbox style="layout-flow:vertical;mso-layout-flow-alt:bottom-to-top" inset="3.6pt,,3.6pt">
                  <w:txbxContent>
                    <w:p w14:paraId="77D5A8C9" w14:textId="77777777" w:rsidR="00A51E29" w:rsidRDefault="00A51E29" w:rsidP="0001734C">
                      <w:pPr>
                        <w:pStyle w:val="Heading2"/>
                        <w:keepNext/>
                        <w:rPr>
                          <w:rFonts w:ascii="Calibri" w:hAnsi="Calibri"/>
                          <w:lang w:val="en"/>
                        </w:rPr>
                      </w:pPr>
                      <w:r>
                        <w:rPr>
                          <w:rFonts w:ascii="Calibri" w:hAnsi="Calibri"/>
                          <w:lang w:val="en"/>
                        </w:rPr>
                        <w:t>Screening</w:t>
                      </w:r>
                    </w:p>
                  </w:txbxContent>
                </v:textbox>
              </v:roundrect>
            </w:pict>
          </mc:Fallback>
        </mc:AlternateContent>
      </w:r>
      <w:r>
        <w:rPr>
          <w:noProof/>
        </w:rPr>
        <mc:AlternateContent>
          <mc:Choice Requires="wps">
            <w:drawing>
              <wp:anchor distT="0" distB="0" distL="114300" distR="114300" simplePos="0" relativeHeight="251704320" behindDoc="0" locked="0" layoutInCell="1" allowOverlap="1" wp14:anchorId="1A1907D6" wp14:editId="4D4E6A98">
                <wp:simplePos x="0" y="0"/>
                <wp:positionH relativeFrom="column">
                  <wp:posOffset>-994410</wp:posOffset>
                </wp:positionH>
                <wp:positionV relativeFrom="paragraph">
                  <wp:posOffset>739140</wp:posOffset>
                </wp:positionV>
                <wp:extent cx="1371600" cy="297180"/>
                <wp:effectExtent l="3810" t="0" r="16510" b="16510"/>
                <wp:wrapNone/>
                <wp:docPr id="1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0A289E38" w14:textId="77777777" w:rsidR="00A51E29" w:rsidRDefault="00A51E29" w:rsidP="0001734C">
                            <w:pPr>
                              <w:pStyle w:val="Heading2"/>
                              <w:keepNext/>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A1907D6" id="AutoShape 64" o:spid="_x0000_s1034" style="position:absolute;margin-left:-78.3pt;margin-top:58.2pt;width:108pt;height:23.4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" fillcolor="#ccecff">
                <v:path arrowok="t"/>
                <v:textbox style="layout-flow:vertical;mso-layout-flow-alt:bottom-to-top" inset="3.6pt,,3.6pt">
                  <w:txbxContent>
                    <w:p w14:paraId="0A289E38" w14:textId="77777777" w:rsidR="00A51E29" w:rsidRDefault="00A51E29" w:rsidP="0001734C">
                      <w:pPr>
                        <w:pStyle w:val="Heading2"/>
                        <w:keepNext/>
                        <w:rPr>
                          <w:rFonts w:ascii="Calibri" w:hAnsi="Calibri"/>
                          <w:lang w:val="en"/>
                        </w:rPr>
                      </w:pPr>
                      <w:r>
                        <w:rPr>
                          <w:rFonts w:ascii="Calibri" w:hAnsi="Calibri"/>
                          <w:lang w:val="en"/>
                        </w:rPr>
                        <w:t>Identification</w:t>
                      </w:r>
                    </w:p>
                  </w:txbxContent>
                </v:textbox>
              </v:roundrect>
            </w:pict>
          </mc:Fallback>
        </mc:AlternateContent>
      </w:r>
    </w:p>
    <w:p w14:paraId="25D08770" w14:textId="77777777" w:rsidR="0001734C" w:rsidRPr="00464BA6" w:rsidRDefault="0001734C" w:rsidP="0001734C"/>
    <w:p w14:paraId="4BE88A03" w14:textId="77777777" w:rsidR="0001734C" w:rsidRPr="00464BA6" w:rsidRDefault="0001734C" w:rsidP="0001734C"/>
    <w:p w14:paraId="33036304" w14:textId="77777777" w:rsidR="0001734C" w:rsidRPr="00464BA6" w:rsidRDefault="0001734C" w:rsidP="0001734C"/>
    <w:p w14:paraId="23FA66B3" w14:textId="77777777" w:rsidR="0001734C" w:rsidRPr="00464BA6" w:rsidRDefault="0001734C" w:rsidP="0001734C"/>
    <w:p w14:paraId="58429720" w14:textId="77777777" w:rsidR="0001734C" w:rsidRPr="00464BA6" w:rsidRDefault="0001734C" w:rsidP="0001734C"/>
    <w:p w14:paraId="0DAC8603" w14:textId="77777777" w:rsidR="0001734C" w:rsidRPr="00464BA6" w:rsidRDefault="0001734C" w:rsidP="0001734C">
      <w:bookmarkStart w:id="0" w:name="_GoBack"/>
      <w:bookmarkEnd w:id="0"/>
    </w:p>
    <w:p w14:paraId="2E9DDD55" w14:textId="77777777" w:rsidR="0001734C" w:rsidRPr="00464BA6" w:rsidRDefault="0001734C" w:rsidP="0001734C"/>
    <w:p w14:paraId="7940E137" w14:textId="77777777" w:rsidR="0001734C" w:rsidRDefault="0001734C" w:rsidP="0001734C"/>
    <w:p w14:paraId="490CE4EE" w14:textId="77777777" w:rsidR="0001734C" w:rsidRDefault="0001734C" w:rsidP="0001734C"/>
    <w:p w14:paraId="0EB7524F" w14:textId="77777777" w:rsidR="0001734C" w:rsidRPr="00464BA6" w:rsidRDefault="0001734C" w:rsidP="0001734C">
      <w:pPr>
        <w:jc w:val="center"/>
      </w:pPr>
    </w:p>
    <w:p w14:paraId="29DD5DFE" w14:textId="77777777" w:rsidR="0001734C" w:rsidRPr="0001734C" w:rsidRDefault="0001734C" w:rsidP="007A7118"/>
    <w:p w14:paraId="2C6BA314" w14:textId="77777777" w:rsidR="00111142" w:rsidRDefault="00111142" w:rsidP="007A7118">
      <w:pPr>
        <w:rPr>
          <w:i/>
        </w:rPr>
      </w:pPr>
    </w:p>
    <w:p w14:paraId="385C0CE2" w14:textId="77777777" w:rsidR="00111142" w:rsidRDefault="00111142" w:rsidP="007A7118">
      <w:pPr>
        <w:rPr>
          <w:i/>
        </w:rPr>
      </w:pPr>
    </w:p>
    <w:p w14:paraId="3E67130B" w14:textId="77777777" w:rsidR="0015472F" w:rsidRDefault="0015472F" w:rsidP="007A7118">
      <w:pPr>
        <w:rPr>
          <w:i/>
        </w:rPr>
      </w:pPr>
    </w:p>
    <w:p w14:paraId="135257C7" w14:textId="77777777" w:rsidR="0015472F" w:rsidRPr="0015472F" w:rsidRDefault="0015472F" w:rsidP="007A7118"/>
    <w:p w14:paraId="58FE2B68" w14:textId="77777777" w:rsidR="00111142" w:rsidRDefault="00111142" w:rsidP="007A7118">
      <w:pPr>
        <w:rPr>
          <w:i/>
        </w:rPr>
      </w:pPr>
    </w:p>
    <w:p w14:paraId="29D424E0" w14:textId="73F3CEED" w:rsidR="0015472F" w:rsidRDefault="0086060B">
      <w:pPr>
        <w:rPr>
          <w:i/>
        </w:rPr>
      </w:pPr>
      <w:r>
        <w:rPr>
          <w:noProof/>
        </w:rPr>
        <mc:AlternateContent>
          <mc:Choice Requires="wps">
            <w:drawing>
              <wp:anchor distT="0" distB="0" distL="114300" distR="114300" simplePos="0" relativeHeight="251708416" behindDoc="0" locked="0" layoutInCell="1" allowOverlap="1" wp14:anchorId="7D8C08CB" wp14:editId="031207FC">
                <wp:simplePos x="0" y="0"/>
                <wp:positionH relativeFrom="column">
                  <wp:posOffset>4229100</wp:posOffset>
                </wp:positionH>
                <wp:positionV relativeFrom="paragraph">
                  <wp:posOffset>391160</wp:posOffset>
                </wp:positionV>
                <wp:extent cx="1819275" cy="1143000"/>
                <wp:effectExtent l="0" t="0" r="34925" b="25400"/>
                <wp:wrapNone/>
                <wp:docPr id="5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275" cy="1143000"/>
                        </a:xfrm>
                        <a:prstGeom prst="rect">
                          <a:avLst/>
                        </a:prstGeom>
                        <a:solidFill>
                          <a:srgbClr val="FFFFFF"/>
                        </a:solidFill>
                        <a:ln w="9525">
                          <a:solidFill>
                            <a:srgbClr val="000000"/>
                          </a:solidFill>
                          <a:miter lim="800000"/>
                          <a:headEnd/>
                          <a:tailEnd/>
                        </a:ln>
                      </wps:spPr>
                      <wps:txbx>
                        <w:txbxContent>
                          <w:p w14:paraId="40417D05" w14:textId="44DF2EA3" w:rsidR="00A51E29" w:rsidRDefault="00A51E29" w:rsidP="0001734C">
                            <w:pPr>
                              <w:jc w:val="center"/>
                              <w:rPr>
                                <w:rFonts w:ascii="Calibri" w:hAnsi="Calibri"/>
                                <w:sz w:val="22"/>
                                <w:szCs w:val="22"/>
                              </w:rPr>
                            </w:pPr>
                            <w:r>
                              <w:rPr>
                                <w:rFonts w:ascii="Calibri" w:hAnsi="Calibri"/>
                                <w:sz w:val="22"/>
                                <w:szCs w:val="22"/>
                              </w:rPr>
                              <w:t xml:space="preserve">Full-text articles excluded (case series, no data on mortality, not North American)  </w:t>
                            </w:r>
                          </w:p>
                          <w:p w14:paraId="121E0ECB" w14:textId="65C90CA9" w:rsidR="00A51E29" w:rsidRDefault="00A51E29" w:rsidP="0001734C">
                            <w:pPr>
                              <w:jc w:val="center"/>
                              <w:rPr>
                                <w:rFonts w:ascii="Calibri" w:hAnsi="Calibri"/>
                                <w:sz w:val="22"/>
                                <w:szCs w:val="22"/>
                              </w:rPr>
                            </w:pPr>
                            <w:r>
                              <w:rPr>
                                <w:rFonts w:ascii="Calibri" w:hAnsi="Calibri"/>
                                <w:sz w:val="22"/>
                                <w:szCs w:val="22"/>
                              </w:rPr>
                              <w:t>(</w:t>
                            </w:r>
                            <w:proofErr w:type="gramStart"/>
                            <w:r>
                              <w:rPr>
                                <w:rFonts w:ascii="Calibri" w:hAnsi="Calibri"/>
                                <w:sz w:val="22"/>
                                <w:szCs w:val="22"/>
                              </w:rPr>
                              <w:t>n</w:t>
                            </w:r>
                            <w:proofErr w:type="gramEnd"/>
                            <w:r>
                              <w:rPr>
                                <w:rFonts w:ascii="Calibri" w:hAnsi="Calibri"/>
                                <w:sz w:val="22"/>
                                <w:szCs w:val="22"/>
                              </w:rPr>
                              <w:t xml:space="preserve"> = 9)</w:t>
                            </w:r>
                          </w:p>
                          <w:p w14:paraId="262A3167" w14:textId="39EF5833" w:rsidR="00A51E29" w:rsidRDefault="00A51E29" w:rsidP="0001734C">
                            <w:pPr>
                              <w:jc w:val="center"/>
                              <w:rPr>
                                <w:rFonts w:ascii="Calibri" w:hAnsi="Calibri"/>
                                <w:sz w:val="22"/>
                                <w:szCs w:val="22"/>
                                <w:lang w:val="en"/>
                              </w:rPr>
                            </w:pPr>
                            <w:r>
                              <w:rPr>
                                <w:rFonts w:ascii="Calibri" w:hAnsi="Calibri"/>
                                <w:sz w:val="22"/>
                                <w:szCs w:val="22"/>
                              </w:rPr>
                              <w:br/>
                              <w:t>(</w:t>
                            </w:r>
                            <w:proofErr w:type="gramStart"/>
                            <w:r>
                              <w:rPr>
                                <w:rFonts w:ascii="Calibri" w:hAnsi="Calibri"/>
                                <w:sz w:val="22"/>
                                <w:szCs w:val="22"/>
                              </w:rPr>
                              <w:t>n</w:t>
                            </w:r>
                            <w:proofErr w:type="gramEnd"/>
                            <w:r>
                              <w:rPr>
                                <w:rFonts w:ascii="Calibri" w:hAnsi="Calibri"/>
                                <w:sz w:val="22"/>
                                <w:szCs w:val="22"/>
                              </w:rPr>
                              <w:t xml:space="preserve"> = 28)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8C08CB" id="Rectangle 68" o:spid="_x0000_s1035" style="position:absolute;margin-left:333pt;margin-top:30.8pt;width:143.25pt;height:9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">
                <v:path arrowok="t"/>
                <v:textbox inset=",7.2pt,,7.2pt">
                  <w:txbxContent>
                    <w:p w14:paraId="40417D05" w14:textId="44DF2EA3" w:rsidR="00A51E29" w:rsidRDefault="00A51E29" w:rsidP="0001734C">
                      <w:pPr>
                        <w:jc w:val="center"/>
                        <w:rPr>
                          <w:rFonts w:ascii="Calibri" w:hAnsi="Calibri"/>
                          <w:sz w:val="22"/>
                          <w:szCs w:val="22"/>
                        </w:rPr>
                      </w:pPr>
                      <w:r>
                        <w:rPr>
                          <w:rFonts w:ascii="Calibri" w:hAnsi="Calibri"/>
                          <w:sz w:val="22"/>
                          <w:szCs w:val="22"/>
                        </w:rPr>
                        <w:t xml:space="preserve">Full-text articles excluded (case series, no data on mortality, not North American)  </w:t>
                      </w:r>
                    </w:p>
                    <w:p w14:paraId="121E0ECB" w14:textId="65C90CA9" w:rsidR="00A51E29" w:rsidRDefault="00A51E29" w:rsidP="0001734C">
                      <w:pPr>
                        <w:jc w:val="center"/>
                        <w:rPr>
                          <w:rFonts w:ascii="Calibri" w:hAnsi="Calibri"/>
                          <w:sz w:val="22"/>
                          <w:szCs w:val="22"/>
                        </w:rPr>
                      </w:pPr>
                      <w:r>
                        <w:rPr>
                          <w:rFonts w:ascii="Calibri" w:hAnsi="Calibri"/>
                          <w:sz w:val="22"/>
                          <w:szCs w:val="22"/>
                        </w:rPr>
                        <w:t>(n = 9)</w:t>
                      </w:r>
                    </w:p>
                    <w:p w14:paraId="262A3167" w14:textId="39EF5833" w:rsidR="00A51E29" w:rsidRDefault="00A51E29" w:rsidP="0001734C">
                      <w:pPr>
                        <w:jc w:val="center"/>
                        <w:rPr>
                          <w:rFonts w:ascii="Calibri" w:hAnsi="Calibri"/>
                          <w:sz w:val="22"/>
                          <w:szCs w:val="22"/>
                          <w:lang w:val="en"/>
                        </w:rPr>
                      </w:pPr>
                      <w:r>
                        <w:rPr>
                          <w:rFonts w:ascii="Calibri" w:hAnsi="Calibri"/>
                          <w:sz w:val="22"/>
                          <w:szCs w:val="22"/>
                        </w:rPr>
                        <w:br/>
                        <w:t>(n = 28)</w:t>
                      </w:r>
                    </w:p>
                  </w:txbxContent>
                </v:textbox>
              </v:rect>
            </w:pict>
          </mc:Fallback>
        </mc:AlternateContent>
      </w:r>
      <w:r w:rsidR="0015472F">
        <w:rPr>
          <w:i/>
        </w:rPr>
        <w:br w:type="page"/>
      </w:r>
    </w:p>
    <w:p w14:paraId="4A977506" w14:textId="77777777" w:rsidR="0015472F" w:rsidRDefault="0015472F" w:rsidP="007A7118">
      <w:pPr>
        <w:rPr>
          <w:i/>
        </w:rPr>
      </w:pPr>
    </w:p>
    <w:p w14:paraId="2F71443E" w14:textId="36C0B19A" w:rsidR="008B474D" w:rsidRDefault="008B474D" w:rsidP="0015472F">
      <w:pPr>
        <w:rPr>
          <w:u w:val="single"/>
        </w:rPr>
      </w:pPr>
      <w:r w:rsidRPr="0086060B">
        <w:rPr>
          <w:b/>
        </w:rPr>
        <w:t>Summary</w:t>
      </w:r>
      <w:r w:rsidR="0086060B" w:rsidRPr="0086060B">
        <w:rPr>
          <w:b/>
        </w:rPr>
        <w:t>:</w:t>
      </w:r>
      <w:r w:rsidR="0086060B" w:rsidRPr="0086060B">
        <w:t xml:space="preserve">  </w:t>
      </w:r>
      <w:r w:rsidR="00B42553">
        <w:t>There are 3</w:t>
      </w:r>
      <w:r w:rsidR="0086060B">
        <w:t xml:space="preserve"> </w:t>
      </w:r>
      <w:r w:rsidR="0082695E">
        <w:t>Oxford Centre for</w:t>
      </w:r>
      <w:r w:rsidR="00A51E29">
        <w:t xml:space="preserve"> Evidence</w:t>
      </w:r>
      <w:r w:rsidR="0082695E">
        <w:t>−</w:t>
      </w:r>
      <w:r w:rsidR="00A51E29">
        <w:t>Based Medicine (</w:t>
      </w:r>
      <w:r w:rsidR="0086060B" w:rsidRPr="00A51E29">
        <w:rPr>
          <w:b/>
        </w:rPr>
        <w:t>OCEBM</w:t>
      </w:r>
      <w:r w:rsidR="00A51E29">
        <w:t>)</w:t>
      </w:r>
      <w:r w:rsidR="0086060B">
        <w:t xml:space="preserve"> level 3 studies of MH mortality derived from the </w:t>
      </w:r>
      <w:r w:rsidR="00A51E29">
        <w:t>North American Malignant Hyperthermia Registry of the Malignant Hyperthermia Association of the United States (</w:t>
      </w:r>
      <w:r w:rsidR="0086060B" w:rsidRPr="00A51E29">
        <w:rPr>
          <w:b/>
        </w:rPr>
        <w:t>NAMHR</w:t>
      </w:r>
      <w:r w:rsidR="00A51E29">
        <w:t>)</w:t>
      </w:r>
      <w:r w:rsidR="0086060B">
        <w:t xml:space="preserve"> with 1 of these 3 studies having an overlapping dataset.  Mortality rates ranged from 1.4% to 9.5% in predominantly US cases. (Reference 1, 3, 5) There are also unpublished NAMHR deaths (3/75) from 2013 through 2016. (Communication from B.W. </w:t>
      </w:r>
      <w:proofErr w:type="spellStart"/>
      <w:r w:rsidR="0086060B">
        <w:t>Brandom</w:t>
      </w:r>
      <w:proofErr w:type="spellEnd"/>
      <w:r w:rsidR="0086060B">
        <w:t xml:space="preserve"> M.D., NAMHR Director, February 21, 2018.)   For the years 1987 through 2016, a total of 15 (n=450 MH events) deaths were reported to the NAMHR database.  Four of 15 MH triggering anesthetics were administered in freestanding facilities.  NAMHR studies are </w:t>
      </w:r>
      <w:r w:rsidR="0086060B" w:rsidRPr="00FE0BF0">
        <w:t>limited by possible selection bias, reporting, and recall bias</w:t>
      </w:r>
      <w:r w:rsidR="0086060B">
        <w:t xml:space="preserve">. </w:t>
      </w:r>
      <w:r w:rsidR="0086060B" w:rsidRPr="00FE0BF0">
        <w:t xml:space="preserve"> </w:t>
      </w:r>
      <w:r w:rsidR="0086060B">
        <w:t xml:space="preserve">ICD-9 based MH studies do not differentiate between MH events and MH susceptible individuals, therefore, </w:t>
      </w:r>
      <w:r w:rsidR="0086060B" w:rsidRPr="00F45C84">
        <w:t xml:space="preserve">the </w:t>
      </w:r>
      <w:r w:rsidR="00683ACF" w:rsidRPr="00F45C84">
        <w:t>4.6% - 15.1%</w:t>
      </w:r>
      <w:r w:rsidR="0086060B">
        <w:t xml:space="preserve"> mortality rates may represent overestimates for US populations.</w:t>
      </w:r>
    </w:p>
    <w:p w14:paraId="2753C8EE" w14:textId="77777777" w:rsidR="008B474D" w:rsidRDefault="008B474D" w:rsidP="0015472F">
      <w:pPr>
        <w:rPr>
          <w:u w:val="single"/>
        </w:rPr>
      </w:pPr>
    </w:p>
    <w:p w14:paraId="1F1FE16B" w14:textId="77777777" w:rsidR="008B474D" w:rsidRDefault="008B474D" w:rsidP="0015472F">
      <w:pPr>
        <w:rPr>
          <w:u w:val="single"/>
        </w:rPr>
      </w:pPr>
    </w:p>
    <w:p w14:paraId="251793A6" w14:textId="77777777" w:rsidR="008B474D" w:rsidRDefault="008B474D" w:rsidP="0015472F">
      <w:pPr>
        <w:rPr>
          <w:u w:val="single"/>
        </w:rPr>
      </w:pPr>
    </w:p>
    <w:p w14:paraId="14880F9D" w14:textId="77777777" w:rsidR="0015472F" w:rsidRPr="008808D4" w:rsidRDefault="0015472F" w:rsidP="0015472F">
      <w:r w:rsidRPr="008808D4">
        <w:rPr>
          <w:u w:val="single"/>
        </w:rPr>
        <w:t>Literature search</w:t>
      </w:r>
      <w:r>
        <w:rPr>
          <w:u w:val="single"/>
        </w:rPr>
        <w:t>:</w:t>
      </w:r>
      <w:r w:rsidRPr="008808D4">
        <w:t xml:space="preserve">  PubMed and </w:t>
      </w:r>
      <w:proofErr w:type="spellStart"/>
      <w:r w:rsidRPr="008808D4">
        <w:t>E</w:t>
      </w:r>
      <w:r>
        <w:t>mbase</w:t>
      </w:r>
      <w:proofErr w:type="spellEnd"/>
      <w:r>
        <w:t>/MEDLINE</w:t>
      </w:r>
      <w:r w:rsidRPr="008808D4">
        <w:t>.</w:t>
      </w:r>
    </w:p>
    <w:p w14:paraId="42CBB860" w14:textId="77777777" w:rsidR="0015472F" w:rsidRDefault="0015472F" w:rsidP="0015472F">
      <w:r>
        <w:t xml:space="preserve">Free text:  “malignant hyperthermia” AND mortality </w:t>
      </w:r>
    </w:p>
    <w:p w14:paraId="1C6D1983" w14:textId="77777777" w:rsidR="0015472F" w:rsidRPr="008808D4" w:rsidRDefault="0015472F" w:rsidP="0015472F">
      <w:r>
        <w:t xml:space="preserve">Filters: </w:t>
      </w:r>
      <w:r w:rsidRPr="00A6737E">
        <w:t>Journal Article, Abstract, Publication</w:t>
      </w:r>
      <w:r w:rsidR="00F30363">
        <w:t xml:space="preserve"> date from 01/01/1969 to 12/31/2017</w:t>
      </w:r>
      <w:r w:rsidRPr="00A6737E">
        <w:t>, Humans, English.</w:t>
      </w:r>
    </w:p>
    <w:p w14:paraId="207879E1" w14:textId="77777777" w:rsidR="0015472F" w:rsidRDefault="0015472F" w:rsidP="0015472F"/>
    <w:tbl>
      <w:tblPr>
        <w:tblStyle w:val="TableGrid"/>
        <w:tblpPr w:leftFromText="180" w:rightFromText="180" w:vertAnchor="text" w:tblpY="1"/>
        <w:tblOverlap w:val="never"/>
        <w:tblW w:w="13315" w:type="dxa"/>
        <w:tblLayout w:type="fixed"/>
        <w:tblLook w:val="04A0" w:firstRow="1" w:lastRow="0" w:firstColumn="1" w:lastColumn="0" w:noHBand="0" w:noVBand="1"/>
      </w:tblPr>
      <w:tblGrid>
        <w:gridCol w:w="3250"/>
        <w:gridCol w:w="1253"/>
        <w:gridCol w:w="3975"/>
        <w:gridCol w:w="1327"/>
        <w:gridCol w:w="1260"/>
        <w:gridCol w:w="2250"/>
      </w:tblGrid>
      <w:tr w:rsidR="0015472F" w:rsidRPr="008C3AD4" w14:paraId="6BA0229F" w14:textId="77777777" w:rsidTr="0015472F">
        <w:tc>
          <w:tcPr>
            <w:tcW w:w="3250" w:type="dxa"/>
          </w:tcPr>
          <w:p w14:paraId="48E8648F" w14:textId="77777777" w:rsidR="0015472F" w:rsidRPr="008C3AD4" w:rsidRDefault="0015472F" w:rsidP="0015472F">
            <w:pPr>
              <w:jc w:val="center"/>
              <w:rPr>
                <w:rFonts w:asciiTheme="majorHAnsi" w:hAnsiTheme="majorHAnsi" w:cstheme="majorHAnsi"/>
              </w:rPr>
            </w:pPr>
            <w:r w:rsidRPr="008C3AD4">
              <w:rPr>
                <w:rFonts w:asciiTheme="majorHAnsi" w:hAnsiTheme="majorHAnsi" w:cstheme="majorHAnsi"/>
              </w:rPr>
              <w:t>Article Identifier</w:t>
            </w:r>
          </w:p>
        </w:tc>
        <w:tc>
          <w:tcPr>
            <w:tcW w:w="1253" w:type="dxa"/>
          </w:tcPr>
          <w:p w14:paraId="1666A827" w14:textId="77777777" w:rsidR="0015472F" w:rsidRPr="008C3AD4" w:rsidRDefault="0015472F" w:rsidP="0015472F">
            <w:pPr>
              <w:jc w:val="center"/>
              <w:rPr>
                <w:rFonts w:asciiTheme="majorHAnsi" w:hAnsiTheme="majorHAnsi" w:cstheme="majorHAnsi"/>
              </w:rPr>
            </w:pPr>
            <w:r w:rsidRPr="008C3AD4">
              <w:rPr>
                <w:rFonts w:asciiTheme="majorHAnsi" w:hAnsiTheme="majorHAnsi" w:cstheme="majorHAnsi"/>
              </w:rPr>
              <w:t>Database search</w:t>
            </w:r>
          </w:p>
        </w:tc>
        <w:tc>
          <w:tcPr>
            <w:tcW w:w="3975" w:type="dxa"/>
          </w:tcPr>
          <w:p w14:paraId="7B4DB0B6" w14:textId="77777777" w:rsidR="0015472F" w:rsidRPr="008C3AD4" w:rsidRDefault="0015472F" w:rsidP="0015472F">
            <w:pPr>
              <w:jc w:val="center"/>
              <w:rPr>
                <w:rFonts w:asciiTheme="majorHAnsi" w:hAnsiTheme="majorHAnsi" w:cstheme="majorHAnsi"/>
              </w:rPr>
            </w:pPr>
            <w:r w:rsidRPr="008C3AD4">
              <w:rPr>
                <w:rFonts w:asciiTheme="majorHAnsi" w:hAnsiTheme="majorHAnsi" w:cstheme="majorHAnsi"/>
              </w:rPr>
              <w:t>Findings</w:t>
            </w:r>
          </w:p>
          <w:p w14:paraId="6E81406F" w14:textId="77777777" w:rsidR="0015472F" w:rsidRPr="008C3AD4" w:rsidRDefault="0015472F" w:rsidP="0015472F">
            <w:pPr>
              <w:jc w:val="center"/>
              <w:rPr>
                <w:rFonts w:asciiTheme="majorHAnsi" w:hAnsiTheme="majorHAnsi" w:cstheme="majorHAnsi"/>
              </w:rPr>
            </w:pPr>
          </w:p>
        </w:tc>
        <w:tc>
          <w:tcPr>
            <w:tcW w:w="1327" w:type="dxa"/>
          </w:tcPr>
          <w:p w14:paraId="6F91C826" w14:textId="77777777" w:rsidR="0015472F" w:rsidRPr="008C3AD4" w:rsidRDefault="0015472F" w:rsidP="0015472F">
            <w:pPr>
              <w:jc w:val="center"/>
              <w:rPr>
                <w:rFonts w:asciiTheme="majorHAnsi" w:hAnsiTheme="majorHAnsi" w:cstheme="majorHAnsi"/>
              </w:rPr>
            </w:pPr>
            <w:r w:rsidRPr="008C3AD4">
              <w:rPr>
                <w:rFonts w:asciiTheme="majorHAnsi" w:hAnsiTheme="majorHAnsi" w:cstheme="majorHAnsi"/>
              </w:rPr>
              <w:t>Mortality Rate</w:t>
            </w:r>
          </w:p>
        </w:tc>
        <w:tc>
          <w:tcPr>
            <w:tcW w:w="1260" w:type="dxa"/>
          </w:tcPr>
          <w:p w14:paraId="46B85450" w14:textId="77777777" w:rsidR="0015472F" w:rsidRPr="008C3AD4" w:rsidRDefault="0015472F" w:rsidP="0015472F">
            <w:pPr>
              <w:jc w:val="center"/>
              <w:rPr>
                <w:rFonts w:asciiTheme="majorHAnsi" w:hAnsiTheme="majorHAnsi" w:cstheme="majorHAnsi"/>
              </w:rPr>
            </w:pPr>
            <w:r w:rsidRPr="008C3AD4">
              <w:rPr>
                <w:rFonts w:asciiTheme="majorHAnsi" w:hAnsiTheme="majorHAnsi" w:cstheme="majorHAnsi"/>
              </w:rPr>
              <w:t>Level of Evidence</w:t>
            </w:r>
          </w:p>
        </w:tc>
        <w:tc>
          <w:tcPr>
            <w:tcW w:w="2250" w:type="dxa"/>
          </w:tcPr>
          <w:p w14:paraId="28875A4E" w14:textId="77777777" w:rsidR="0015472F" w:rsidRPr="008C3AD4" w:rsidRDefault="0015472F" w:rsidP="0015472F">
            <w:pPr>
              <w:jc w:val="center"/>
              <w:rPr>
                <w:rFonts w:asciiTheme="majorHAnsi" w:hAnsiTheme="majorHAnsi" w:cstheme="majorHAnsi"/>
              </w:rPr>
            </w:pPr>
            <w:r>
              <w:rPr>
                <w:rFonts w:asciiTheme="majorHAnsi" w:hAnsiTheme="majorHAnsi" w:cstheme="majorHAnsi"/>
              </w:rPr>
              <w:t>Bias</w:t>
            </w:r>
          </w:p>
        </w:tc>
      </w:tr>
      <w:tr w:rsidR="0015472F" w:rsidRPr="00A8597E" w14:paraId="21AEE61C" w14:textId="77777777" w:rsidTr="0015472F">
        <w:tc>
          <w:tcPr>
            <w:tcW w:w="3250" w:type="dxa"/>
          </w:tcPr>
          <w:p w14:paraId="795D281E" w14:textId="7AB658D3" w:rsidR="0015472F" w:rsidRPr="00E40E00" w:rsidRDefault="004E1C05" w:rsidP="0015472F">
            <w:pPr>
              <w:rPr>
                <w:rFonts w:cstheme="minorHAnsi"/>
              </w:rPr>
            </w:pPr>
            <w:r>
              <w:rPr>
                <w:rFonts w:cstheme="minorHAnsi"/>
                <w:b/>
              </w:rPr>
              <w:t xml:space="preserve">1.  </w:t>
            </w:r>
            <w:r w:rsidR="00E40E00" w:rsidRPr="008808D4">
              <w:rPr>
                <w:rFonts w:cstheme="minorHAnsi"/>
              </w:rPr>
              <w:t xml:space="preserve"> Larach MG, </w:t>
            </w:r>
            <w:proofErr w:type="spellStart"/>
            <w:r w:rsidR="00E40E00" w:rsidRPr="008808D4">
              <w:rPr>
                <w:rFonts w:cstheme="minorHAnsi"/>
              </w:rPr>
              <w:t>Brandom</w:t>
            </w:r>
            <w:proofErr w:type="spellEnd"/>
            <w:r w:rsidR="00E40E00" w:rsidRPr="008808D4">
              <w:rPr>
                <w:rFonts w:cstheme="minorHAnsi"/>
              </w:rPr>
              <w:t xml:space="preserve"> BW, </w:t>
            </w:r>
            <w:r w:rsidR="00E40E00">
              <w:rPr>
                <w:rFonts w:cstheme="minorHAnsi"/>
              </w:rPr>
              <w:t xml:space="preserve">Allen GC, Gronert GA, Lehman EB: </w:t>
            </w:r>
            <w:r w:rsidR="0015472F" w:rsidRPr="00E40E00">
              <w:rPr>
                <w:rFonts w:cstheme="minorHAnsi"/>
              </w:rPr>
              <w:t xml:space="preserve">Malignant hyperthermia deaths related to inadequate temperature monitoring, 2007-2012: a </w:t>
            </w:r>
            <w:r w:rsidR="0086060B" w:rsidRPr="00E40E00">
              <w:rPr>
                <w:rFonts w:cstheme="minorHAnsi"/>
              </w:rPr>
              <w:t>report from the North American Malignant Hyperthermia Registry of the Malignant Hyperthermia A</w:t>
            </w:r>
            <w:r w:rsidR="0015472F" w:rsidRPr="00E40E00">
              <w:rPr>
                <w:rFonts w:cstheme="minorHAnsi"/>
              </w:rPr>
              <w:t>ssociation of the United States.</w:t>
            </w:r>
          </w:p>
          <w:p w14:paraId="05D8F892" w14:textId="3DDDDEE7" w:rsidR="0015472F" w:rsidRPr="008808D4" w:rsidRDefault="00E40E00" w:rsidP="00E40E00">
            <w:pPr>
              <w:rPr>
                <w:rFonts w:cstheme="minorHAnsi"/>
                <w:sz w:val="20"/>
                <w:szCs w:val="20"/>
              </w:rPr>
            </w:pPr>
            <w:proofErr w:type="spellStart"/>
            <w:r>
              <w:rPr>
                <w:rFonts w:cstheme="minorHAnsi"/>
              </w:rPr>
              <w:lastRenderedPageBreak/>
              <w:t>Anesth</w:t>
            </w:r>
            <w:proofErr w:type="spellEnd"/>
            <w:r>
              <w:rPr>
                <w:rFonts w:cstheme="minorHAnsi"/>
              </w:rPr>
              <w:t xml:space="preserve"> Analg</w:t>
            </w:r>
            <w:r w:rsidR="0015472F" w:rsidRPr="008808D4">
              <w:rPr>
                <w:rFonts w:cstheme="minorHAnsi"/>
              </w:rPr>
              <w:t xml:space="preserve"> 2014</w:t>
            </w:r>
            <w:r>
              <w:rPr>
                <w:rFonts w:cstheme="minorHAnsi"/>
              </w:rPr>
              <w:t>;</w:t>
            </w:r>
            <w:r w:rsidR="0015472F" w:rsidRPr="008808D4">
              <w:rPr>
                <w:rFonts w:cstheme="minorHAnsi"/>
              </w:rPr>
              <w:t xml:space="preserve"> 119:1359-66</w:t>
            </w:r>
          </w:p>
        </w:tc>
        <w:tc>
          <w:tcPr>
            <w:tcW w:w="1253" w:type="dxa"/>
          </w:tcPr>
          <w:p w14:paraId="6FC49B47" w14:textId="4E7EA9C0" w:rsidR="0015472F" w:rsidRDefault="0015472F" w:rsidP="0015472F">
            <w:pPr>
              <w:rPr>
                <w:sz w:val="20"/>
                <w:szCs w:val="20"/>
              </w:rPr>
            </w:pPr>
          </w:p>
          <w:p w14:paraId="6485F35E" w14:textId="64418D70" w:rsidR="0015472F" w:rsidRPr="00A8597E" w:rsidRDefault="0086060B" w:rsidP="0086060B">
            <w:pPr>
              <w:rPr>
                <w:sz w:val="20"/>
                <w:szCs w:val="20"/>
              </w:rPr>
            </w:pPr>
            <w:r>
              <w:rPr>
                <w:sz w:val="20"/>
                <w:szCs w:val="20"/>
              </w:rPr>
              <w:t>NA</w:t>
            </w:r>
            <w:r w:rsidR="0015472F">
              <w:rPr>
                <w:sz w:val="20"/>
                <w:szCs w:val="20"/>
              </w:rPr>
              <w:t>MH</w:t>
            </w:r>
            <w:r>
              <w:rPr>
                <w:sz w:val="20"/>
                <w:szCs w:val="20"/>
              </w:rPr>
              <w:t>R*</w:t>
            </w:r>
            <w:r w:rsidR="0015472F">
              <w:rPr>
                <w:sz w:val="20"/>
                <w:szCs w:val="20"/>
              </w:rPr>
              <w:t xml:space="preserve"> </w:t>
            </w:r>
          </w:p>
        </w:tc>
        <w:tc>
          <w:tcPr>
            <w:tcW w:w="3975" w:type="dxa"/>
          </w:tcPr>
          <w:p w14:paraId="01D651AB" w14:textId="77777777" w:rsidR="0015472F" w:rsidRPr="0018744F" w:rsidRDefault="0015472F" w:rsidP="0015472F">
            <w:pPr>
              <w:rPr>
                <w:sz w:val="20"/>
                <w:szCs w:val="20"/>
              </w:rPr>
            </w:pPr>
            <w:r>
              <w:rPr>
                <w:sz w:val="20"/>
                <w:szCs w:val="20"/>
              </w:rPr>
              <w:t>-</w:t>
            </w:r>
            <w:r>
              <w:t xml:space="preserve"> </w:t>
            </w:r>
            <w:r w:rsidRPr="0018744F">
              <w:rPr>
                <w:sz w:val="20"/>
                <w:szCs w:val="20"/>
              </w:rPr>
              <w:t xml:space="preserve">Searched for AMRA </w:t>
            </w:r>
          </w:p>
          <w:p w14:paraId="1607AB8B" w14:textId="77777777" w:rsidR="0015472F" w:rsidRPr="0018744F" w:rsidRDefault="0015472F" w:rsidP="0015472F">
            <w:pPr>
              <w:rPr>
                <w:sz w:val="20"/>
                <w:szCs w:val="20"/>
              </w:rPr>
            </w:pPr>
            <w:r w:rsidRPr="0018744F">
              <w:rPr>
                <w:sz w:val="20"/>
                <w:szCs w:val="20"/>
              </w:rPr>
              <w:t>-US and Canada</w:t>
            </w:r>
          </w:p>
          <w:p w14:paraId="3F4CC399" w14:textId="77777777" w:rsidR="0015472F" w:rsidRPr="0018744F" w:rsidRDefault="0015472F" w:rsidP="0015472F">
            <w:pPr>
              <w:rPr>
                <w:sz w:val="20"/>
                <w:szCs w:val="20"/>
              </w:rPr>
            </w:pPr>
            <w:r w:rsidRPr="0018744F">
              <w:rPr>
                <w:sz w:val="20"/>
                <w:szCs w:val="20"/>
              </w:rPr>
              <w:t xml:space="preserve">-Dates Jan. 1, </w:t>
            </w:r>
            <w:r>
              <w:rPr>
                <w:sz w:val="20"/>
                <w:szCs w:val="20"/>
              </w:rPr>
              <w:t>200</w:t>
            </w:r>
            <w:r w:rsidRPr="0018744F">
              <w:rPr>
                <w:sz w:val="20"/>
                <w:szCs w:val="20"/>
              </w:rPr>
              <w:t>7 – Dec. 31, 2</w:t>
            </w:r>
            <w:r>
              <w:rPr>
                <w:sz w:val="20"/>
                <w:szCs w:val="20"/>
              </w:rPr>
              <w:t>012</w:t>
            </w:r>
          </w:p>
          <w:p w14:paraId="7EF895BA" w14:textId="77777777" w:rsidR="0015472F" w:rsidRPr="0018744F" w:rsidRDefault="0015472F" w:rsidP="0015472F">
            <w:pPr>
              <w:rPr>
                <w:sz w:val="20"/>
                <w:szCs w:val="20"/>
              </w:rPr>
            </w:pPr>
            <w:r w:rsidRPr="0018744F">
              <w:rPr>
                <w:sz w:val="20"/>
                <w:szCs w:val="20"/>
              </w:rPr>
              <w:t>-</w:t>
            </w:r>
            <w:r>
              <w:rPr>
                <w:sz w:val="20"/>
                <w:szCs w:val="20"/>
              </w:rPr>
              <w:t>189</w:t>
            </w:r>
            <w:r w:rsidRPr="0018744F">
              <w:rPr>
                <w:sz w:val="20"/>
                <w:szCs w:val="20"/>
              </w:rPr>
              <w:t xml:space="preserve"> total reports </w:t>
            </w:r>
          </w:p>
          <w:p w14:paraId="2194F5E9" w14:textId="68352BCB" w:rsidR="0015472F" w:rsidRPr="0018744F" w:rsidRDefault="0015472F" w:rsidP="0015472F">
            <w:pPr>
              <w:rPr>
                <w:sz w:val="20"/>
                <w:szCs w:val="20"/>
              </w:rPr>
            </w:pPr>
            <w:r w:rsidRPr="0018744F">
              <w:rPr>
                <w:sz w:val="20"/>
                <w:szCs w:val="20"/>
              </w:rPr>
              <w:t>-</w:t>
            </w:r>
            <w:r>
              <w:rPr>
                <w:sz w:val="20"/>
                <w:szCs w:val="20"/>
              </w:rPr>
              <w:t>84</w:t>
            </w:r>
            <w:r w:rsidRPr="0018744F">
              <w:rPr>
                <w:sz w:val="20"/>
                <w:szCs w:val="20"/>
              </w:rPr>
              <w:t xml:space="preserve"> events identified as MH CGS </w:t>
            </w:r>
            <w:r w:rsidR="00935035">
              <w:rPr>
                <w:sz w:val="20"/>
                <w:szCs w:val="20"/>
              </w:rPr>
              <w:t>**</w:t>
            </w:r>
            <w:r w:rsidRPr="0018744F">
              <w:rPr>
                <w:sz w:val="20"/>
                <w:szCs w:val="20"/>
              </w:rPr>
              <w:t>“very likely” or “almost certain”</w:t>
            </w:r>
          </w:p>
          <w:p w14:paraId="6AAAB080" w14:textId="74317C64" w:rsidR="0015472F" w:rsidRPr="0018744F" w:rsidRDefault="0015472F" w:rsidP="0015472F">
            <w:pPr>
              <w:rPr>
                <w:sz w:val="20"/>
                <w:szCs w:val="20"/>
              </w:rPr>
            </w:pPr>
            <w:r w:rsidRPr="0018744F">
              <w:rPr>
                <w:sz w:val="20"/>
                <w:szCs w:val="20"/>
              </w:rPr>
              <w:t xml:space="preserve">-Out of </w:t>
            </w:r>
            <w:r>
              <w:rPr>
                <w:sz w:val="20"/>
                <w:szCs w:val="20"/>
              </w:rPr>
              <w:t>84 events: 7</w:t>
            </w:r>
            <w:r w:rsidRPr="0018744F">
              <w:rPr>
                <w:sz w:val="20"/>
                <w:szCs w:val="20"/>
              </w:rPr>
              <w:t xml:space="preserve"> cardiac arrests, </w:t>
            </w:r>
            <w:r>
              <w:rPr>
                <w:sz w:val="20"/>
                <w:szCs w:val="20"/>
              </w:rPr>
              <w:t>8</w:t>
            </w:r>
            <w:r w:rsidRPr="0018744F">
              <w:rPr>
                <w:sz w:val="20"/>
                <w:szCs w:val="20"/>
              </w:rPr>
              <w:t xml:space="preserve"> deaths</w:t>
            </w:r>
            <w:r w:rsidR="00EF665A">
              <w:rPr>
                <w:sz w:val="20"/>
                <w:szCs w:val="20"/>
              </w:rPr>
              <w:t xml:space="preserve"> with 4/8 </w:t>
            </w:r>
            <w:r w:rsidR="0086060B">
              <w:rPr>
                <w:sz w:val="20"/>
                <w:szCs w:val="20"/>
              </w:rPr>
              <w:t>anesthetics occurring in a free</w:t>
            </w:r>
            <w:r w:rsidR="00EF665A">
              <w:rPr>
                <w:sz w:val="20"/>
                <w:szCs w:val="20"/>
              </w:rPr>
              <w:t xml:space="preserve">standing facility.  6/8 had post-mortem genetic studies: 3/8 MH-causative </w:t>
            </w:r>
            <w:r w:rsidR="00EF665A" w:rsidRPr="00EF665A">
              <w:rPr>
                <w:i/>
                <w:sz w:val="20"/>
                <w:szCs w:val="20"/>
              </w:rPr>
              <w:t>RYR1</w:t>
            </w:r>
            <w:r w:rsidR="00EF665A">
              <w:rPr>
                <w:sz w:val="20"/>
                <w:szCs w:val="20"/>
              </w:rPr>
              <w:t xml:space="preserve"> mutations and 3/8 with </w:t>
            </w:r>
            <w:r w:rsidR="00EF665A" w:rsidRPr="00EF665A">
              <w:rPr>
                <w:i/>
                <w:sz w:val="20"/>
                <w:szCs w:val="20"/>
              </w:rPr>
              <w:t>RYR1</w:t>
            </w:r>
            <w:r w:rsidR="00EF665A">
              <w:rPr>
                <w:sz w:val="20"/>
                <w:szCs w:val="20"/>
              </w:rPr>
              <w:t xml:space="preserve"> variants of uncertain significance.</w:t>
            </w:r>
          </w:p>
          <w:p w14:paraId="31421BEE" w14:textId="77777777" w:rsidR="0015472F" w:rsidRPr="00A8597E" w:rsidRDefault="0015472F" w:rsidP="0015472F">
            <w:pPr>
              <w:rPr>
                <w:sz w:val="20"/>
                <w:szCs w:val="20"/>
              </w:rPr>
            </w:pPr>
          </w:p>
        </w:tc>
        <w:tc>
          <w:tcPr>
            <w:tcW w:w="1327" w:type="dxa"/>
          </w:tcPr>
          <w:p w14:paraId="503655D9" w14:textId="77777777" w:rsidR="0015472F" w:rsidRPr="00A8597E" w:rsidRDefault="0015472F" w:rsidP="0015472F">
            <w:pPr>
              <w:jc w:val="center"/>
              <w:rPr>
                <w:sz w:val="20"/>
                <w:szCs w:val="20"/>
              </w:rPr>
            </w:pPr>
            <w:r>
              <w:rPr>
                <w:sz w:val="20"/>
                <w:szCs w:val="20"/>
              </w:rPr>
              <w:t>9.5%</w:t>
            </w:r>
          </w:p>
        </w:tc>
        <w:tc>
          <w:tcPr>
            <w:tcW w:w="1260" w:type="dxa"/>
          </w:tcPr>
          <w:p w14:paraId="4F883E3F" w14:textId="77777777" w:rsidR="0015472F" w:rsidRPr="004E1C05" w:rsidRDefault="00530036" w:rsidP="0015472F">
            <w:pPr>
              <w:jc w:val="center"/>
              <w:rPr>
                <w:i/>
                <w:sz w:val="20"/>
                <w:szCs w:val="20"/>
              </w:rPr>
            </w:pPr>
            <w:r>
              <w:rPr>
                <w:sz w:val="20"/>
                <w:szCs w:val="20"/>
              </w:rPr>
              <w:t>3</w:t>
            </w:r>
          </w:p>
        </w:tc>
        <w:tc>
          <w:tcPr>
            <w:tcW w:w="2250" w:type="dxa"/>
          </w:tcPr>
          <w:p w14:paraId="38C8DD9D" w14:textId="77777777" w:rsidR="0015472F" w:rsidRPr="005D7D90" w:rsidRDefault="0015472F" w:rsidP="0015472F">
            <w:pPr>
              <w:jc w:val="center"/>
              <w:rPr>
                <w:sz w:val="20"/>
                <w:szCs w:val="20"/>
                <w:u w:val="single"/>
              </w:rPr>
            </w:pPr>
            <w:r w:rsidRPr="005D7D90">
              <w:rPr>
                <w:sz w:val="20"/>
                <w:szCs w:val="20"/>
                <w:u w:val="single"/>
              </w:rPr>
              <w:t>Selective reporting</w:t>
            </w:r>
          </w:p>
          <w:p w14:paraId="0CEAAB00" w14:textId="7AB0B5A3" w:rsidR="0015472F" w:rsidRPr="00A8597E" w:rsidRDefault="0015472F" w:rsidP="0015472F">
            <w:pPr>
              <w:rPr>
                <w:sz w:val="20"/>
                <w:szCs w:val="20"/>
              </w:rPr>
            </w:pPr>
            <w:r>
              <w:rPr>
                <w:sz w:val="20"/>
                <w:szCs w:val="20"/>
              </w:rPr>
              <w:t>Registry data dependent on voluntary reporting, therefore not all events captured.  Also, those reporting may have incomplete/ misdiagnosed patient event.  Also, no confirmatory testing for MH</w:t>
            </w:r>
            <w:r w:rsidR="00935035">
              <w:rPr>
                <w:sz w:val="20"/>
                <w:szCs w:val="20"/>
              </w:rPr>
              <w:t xml:space="preserve"> is conducted for every report</w:t>
            </w:r>
            <w:r>
              <w:rPr>
                <w:sz w:val="20"/>
                <w:szCs w:val="20"/>
              </w:rPr>
              <w:t xml:space="preserve">ed event.  </w:t>
            </w:r>
          </w:p>
        </w:tc>
      </w:tr>
      <w:tr w:rsidR="0015472F" w14:paraId="735AE1E4" w14:textId="77777777" w:rsidTr="0015472F">
        <w:tc>
          <w:tcPr>
            <w:tcW w:w="3250" w:type="dxa"/>
          </w:tcPr>
          <w:p w14:paraId="2299D950" w14:textId="2169398D" w:rsidR="00E40E00" w:rsidRPr="008808D4" w:rsidRDefault="004E1C05" w:rsidP="00E40E00">
            <w:pPr>
              <w:rPr>
                <w:rFonts w:cstheme="minorHAnsi"/>
              </w:rPr>
            </w:pPr>
            <w:r>
              <w:rPr>
                <w:rFonts w:cstheme="minorHAnsi"/>
                <w:b/>
              </w:rPr>
              <w:lastRenderedPageBreak/>
              <w:t xml:space="preserve">2.  </w:t>
            </w:r>
            <w:r w:rsidR="00E40E00" w:rsidRPr="008808D4">
              <w:rPr>
                <w:rFonts w:cstheme="minorHAnsi"/>
              </w:rPr>
              <w:t xml:space="preserve"> Salazar JH, Yan</w:t>
            </w:r>
            <w:r w:rsidR="00E40E00">
              <w:rPr>
                <w:rFonts w:cstheme="minorHAnsi"/>
              </w:rPr>
              <w:t xml:space="preserve">g J, </w:t>
            </w:r>
            <w:proofErr w:type="spellStart"/>
            <w:r w:rsidR="00E40E00">
              <w:rPr>
                <w:rFonts w:cstheme="minorHAnsi"/>
              </w:rPr>
              <w:t>Shen</w:t>
            </w:r>
            <w:proofErr w:type="spellEnd"/>
            <w:r w:rsidR="00E40E00">
              <w:rPr>
                <w:rFonts w:cstheme="minorHAnsi"/>
              </w:rPr>
              <w:t xml:space="preserve"> L, Abdullah F, Kim TW:</w:t>
            </w:r>
          </w:p>
          <w:p w14:paraId="4DBE821C" w14:textId="77777777" w:rsidR="0015472F" w:rsidRPr="00E40E00" w:rsidRDefault="0015472F" w:rsidP="0015472F">
            <w:pPr>
              <w:rPr>
                <w:rFonts w:cstheme="minorHAnsi"/>
              </w:rPr>
            </w:pPr>
            <w:r w:rsidRPr="00E40E00">
              <w:rPr>
                <w:rFonts w:cstheme="minorHAnsi"/>
              </w:rPr>
              <w:t>Pediatric malignant hyperthermia: risk factors, morbidity, and mortality identified from the Nationwide Inpatient Sample and Kids' Inpatient Database.</w:t>
            </w:r>
          </w:p>
          <w:p w14:paraId="25AEBD1C" w14:textId="05C31563" w:rsidR="0015472F" w:rsidRPr="008808D4" w:rsidRDefault="0015472F" w:rsidP="00567F04">
            <w:pPr>
              <w:rPr>
                <w:rFonts w:cstheme="minorHAnsi"/>
              </w:rPr>
            </w:pPr>
            <w:proofErr w:type="spellStart"/>
            <w:r w:rsidRPr="008808D4">
              <w:rPr>
                <w:rFonts w:cstheme="minorHAnsi"/>
              </w:rPr>
              <w:t>Paediatr</w:t>
            </w:r>
            <w:proofErr w:type="spellEnd"/>
            <w:r w:rsidRPr="008808D4">
              <w:rPr>
                <w:rFonts w:cstheme="minorHAnsi"/>
              </w:rPr>
              <w:t xml:space="preserve"> </w:t>
            </w:r>
            <w:proofErr w:type="spellStart"/>
            <w:r w:rsidRPr="008808D4">
              <w:rPr>
                <w:rFonts w:cstheme="minorHAnsi"/>
              </w:rPr>
              <w:t>Anaesth</w:t>
            </w:r>
            <w:proofErr w:type="spellEnd"/>
            <w:r w:rsidRPr="008808D4">
              <w:rPr>
                <w:rFonts w:cstheme="minorHAnsi"/>
              </w:rPr>
              <w:t xml:space="preserve"> 2014</w:t>
            </w:r>
            <w:proofErr w:type="gramStart"/>
            <w:r w:rsidRPr="008808D4">
              <w:rPr>
                <w:rFonts w:cstheme="minorHAnsi"/>
              </w:rPr>
              <w:t>;24:1212</w:t>
            </w:r>
            <w:proofErr w:type="gramEnd"/>
            <w:r w:rsidRPr="008808D4">
              <w:rPr>
                <w:rFonts w:cstheme="minorHAnsi"/>
              </w:rPr>
              <w:t>-6</w:t>
            </w:r>
          </w:p>
        </w:tc>
        <w:tc>
          <w:tcPr>
            <w:tcW w:w="1253" w:type="dxa"/>
          </w:tcPr>
          <w:p w14:paraId="3B99A4FA" w14:textId="77777777" w:rsidR="0015472F" w:rsidRPr="00A8597E" w:rsidRDefault="0015472F" w:rsidP="0015472F">
            <w:pPr>
              <w:rPr>
                <w:sz w:val="20"/>
                <w:szCs w:val="20"/>
              </w:rPr>
            </w:pPr>
            <w:r>
              <w:rPr>
                <w:sz w:val="20"/>
                <w:szCs w:val="20"/>
              </w:rPr>
              <w:t>Nationwide Inpatient Sample and Kid’s Inpatient Database</w:t>
            </w:r>
          </w:p>
        </w:tc>
        <w:tc>
          <w:tcPr>
            <w:tcW w:w="3975" w:type="dxa"/>
          </w:tcPr>
          <w:p w14:paraId="105AE171" w14:textId="77777777" w:rsidR="0015472F" w:rsidRDefault="0015472F" w:rsidP="0015472F">
            <w:pPr>
              <w:rPr>
                <w:sz w:val="20"/>
                <w:szCs w:val="20"/>
              </w:rPr>
            </w:pPr>
            <w:r>
              <w:rPr>
                <w:sz w:val="20"/>
                <w:szCs w:val="20"/>
              </w:rPr>
              <w:t xml:space="preserve">-Searched </w:t>
            </w:r>
            <w:r w:rsidRPr="004A509C">
              <w:rPr>
                <w:b/>
                <w:sz w:val="20"/>
                <w:szCs w:val="20"/>
              </w:rPr>
              <w:t>ICD-9 code</w:t>
            </w:r>
            <w:r>
              <w:rPr>
                <w:sz w:val="20"/>
                <w:szCs w:val="20"/>
              </w:rPr>
              <w:t xml:space="preserve"> (995.86) for MH</w:t>
            </w:r>
          </w:p>
          <w:p w14:paraId="09875EA2" w14:textId="3C4ECF24" w:rsidR="0015472F" w:rsidRDefault="00935035" w:rsidP="0015472F">
            <w:pPr>
              <w:rPr>
                <w:sz w:val="20"/>
                <w:szCs w:val="20"/>
              </w:rPr>
            </w:pPr>
            <w:r>
              <w:rPr>
                <w:sz w:val="20"/>
                <w:szCs w:val="20"/>
              </w:rPr>
              <w:t>-US; ages 0-17 y</w:t>
            </w:r>
          </w:p>
          <w:p w14:paraId="29461145" w14:textId="77777777" w:rsidR="0015472F" w:rsidRDefault="0015472F" w:rsidP="0015472F">
            <w:pPr>
              <w:rPr>
                <w:sz w:val="20"/>
                <w:szCs w:val="20"/>
              </w:rPr>
            </w:pPr>
            <w:r>
              <w:rPr>
                <w:sz w:val="20"/>
                <w:szCs w:val="20"/>
              </w:rPr>
              <w:t>-1998 – 2010; non overlapping years</w:t>
            </w:r>
          </w:p>
          <w:p w14:paraId="00114230" w14:textId="77777777" w:rsidR="0015472F" w:rsidRDefault="0015472F" w:rsidP="0015472F">
            <w:pPr>
              <w:rPr>
                <w:sz w:val="20"/>
                <w:szCs w:val="20"/>
              </w:rPr>
            </w:pPr>
            <w:r>
              <w:rPr>
                <w:sz w:val="20"/>
                <w:szCs w:val="20"/>
              </w:rPr>
              <w:t>-310 pediatric admissions</w:t>
            </w:r>
          </w:p>
          <w:p w14:paraId="3124CECE" w14:textId="77777777" w:rsidR="0015472F" w:rsidRPr="00A8597E" w:rsidRDefault="0015472F" w:rsidP="0015472F">
            <w:pPr>
              <w:rPr>
                <w:sz w:val="20"/>
                <w:szCs w:val="20"/>
              </w:rPr>
            </w:pPr>
            <w:r>
              <w:rPr>
                <w:sz w:val="20"/>
                <w:szCs w:val="20"/>
              </w:rPr>
              <w:t>-9 deaths</w:t>
            </w:r>
          </w:p>
        </w:tc>
        <w:tc>
          <w:tcPr>
            <w:tcW w:w="1327" w:type="dxa"/>
          </w:tcPr>
          <w:p w14:paraId="6C1E847C" w14:textId="77777777" w:rsidR="0015472F" w:rsidRDefault="0015472F" w:rsidP="0015472F">
            <w:pPr>
              <w:jc w:val="center"/>
              <w:rPr>
                <w:sz w:val="20"/>
                <w:szCs w:val="20"/>
              </w:rPr>
            </w:pPr>
            <w:r>
              <w:rPr>
                <w:sz w:val="20"/>
                <w:szCs w:val="20"/>
              </w:rPr>
              <w:t>Pediatric</w:t>
            </w:r>
          </w:p>
          <w:p w14:paraId="69CD73BE" w14:textId="77777777" w:rsidR="0015472F" w:rsidRDefault="0015472F" w:rsidP="0015472F">
            <w:pPr>
              <w:jc w:val="center"/>
              <w:rPr>
                <w:sz w:val="20"/>
                <w:szCs w:val="20"/>
              </w:rPr>
            </w:pPr>
            <w:r>
              <w:rPr>
                <w:sz w:val="20"/>
                <w:szCs w:val="20"/>
              </w:rPr>
              <w:t>2.9%</w:t>
            </w:r>
          </w:p>
          <w:p w14:paraId="09DE330B" w14:textId="77777777" w:rsidR="0015472F" w:rsidRDefault="0015472F" w:rsidP="0015472F">
            <w:pPr>
              <w:jc w:val="center"/>
              <w:rPr>
                <w:sz w:val="20"/>
                <w:szCs w:val="20"/>
              </w:rPr>
            </w:pPr>
          </w:p>
          <w:p w14:paraId="2C58D981" w14:textId="77777777" w:rsidR="0015472F" w:rsidRDefault="0015472F" w:rsidP="0015472F">
            <w:pPr>
              <w:jc w:val="center"/>
              <w:rPr>
                <w:sz w:val="20"/>
                <w:szCs w:val="20"/>
              </w:rPr>
            </w:pPr>
            <w:r>
              <w:rPr>
                <w:sz w:val="20"/>
                <w:szCs w:val="20"/>
              </w:rPr>
              <w:t>____________</w:t>
            </w:r>
          </w:p>
          <w:p w14:paraId="679CFFA7" w14:textId="77777777" w:rsidR="0015472F" w:rsidRDefault="0015472F" w:rsidP="0015472F">
            <w:pPr>
              <w:jc w:val="center"/>
              <w:rPr>
                <w:sz w:val="20"/>
                <w:szCs w:val="20"/>
              </w:rPr>
            </w:pPr>
            <w:r>
              <w:rPr>
                <w:sz w:val="20"/>
                <w:szCs w:val="20"/>
              </w:rPr>
              <w:t>Adult</w:t>
            </w:r>
          </w:p>
          <w:p w14:paraId="0D08A90D" w14:textId="77777777" w:rsidR="0015472F" w:rsidRDefault="0015472F" w:rsidP="0015472F">
            <w:pPr>
              <w:jc w:val="center"/>
              <w:rPr>
                <w:sz w:val="20"/>
                <w:szCs w:val="20"/>
              </w:rPr>
            </w:pPr>
            <w:r>
              <w:rPr>
                <w:sz w:val="20"/>
                <w:szCs w:val="20"/>
              </w:rPr>
              <w:t>18.2%</w:t>
            </w:r>
          </w:p>
          <w:p w14:paraId="204A031C" w14:textId="77777777" w:rsidR="0015472F" w:rsidRDefault="0015472F" w:rsidP="0015472F">
            <w:pPr>
              <w:jc w:val="center"/>
              <w:rPr>
                <w:sz w:val="20"/>
                <w:szCs w:val="20"/>
              </w:rPr>
            </w:pPr>
          </w:p>
          <w:p w14:paraId="5266032A" w14:textId="77777777" w:rsidR="0015472F" w:rsidRDefault="0015472F" w:rsidP="0015472F">
            <w:pPr>
              <w:jc w:val="center"/>
              <w:rPr>
                <w:sz w:val="20"/>
                <w:szCs w:val="20"/>
              </w:rPr>
            </w:pPr>
            <w:r>
              <w:rPr>
                <w:sz w:val="20"/>
                <w:szCs w:val="20"/>
              </w:rPr>
              <w:t>____________</w:t>
            </w:r>
          </w:p>
          <w:p w14:paraId="2E9452BA" w14:textId="77777777" w:rsidR="0015472F" w:rsidRDefault="0015472F" w:rsidP="0015472F">
            <w:pPr>
              <w:jc w:val="center"/>
              <w:rPr>
                <w:sz w:val="20"/>
                <w:szCs w:val="20"/>
              </w:rPr>
            </w:pPr>
            <w:r>
              <w:rPr>
                <w:sz w:val="20"/>
                <w:szCs w:val="20"/>
              </w:rPr>
              <w:t>Combined</w:t>
            </w:r>
          </w:p>
          <w:p w14:paraId="0B3675B3" w14:textId="77777777" w:rsidR="0015472F" w:rsidRPr="00A8597E" w:rsidRDefault="0015472F" w:rsidP="0015472F">
            <w:pPr>
              <w:jc w:val="center"/>
              <w:rPr>
                <w:sz w:val="20"/>
                <w:szCs w:val="20"/>
              </w:rPr>
            </w:pPr>
            <w:r>
              <w:rPr>
                <w:sz w:val="20"/>
                <w:szCs w:val="20"/>
              </w:rPr>
              <w:t>15.1%</w:t>
            </w:r>
          </w:p>
        </w:tc>
        <w:tc>
          <w:tcPr>
            <w:tcW w:w="1260" w:type="dxa"/>
          </w:tcPr>
          <w:p w14:paraId="434E1C7C" w14:textId="77777777" w:rsidR="0015472F" w:rsidRPr="00A8597E" w:rsidRDefault="00530036" w:rsidP="0015472F">
            <w:pPr>
              <w:jc w:val="center"/>
              <w:rPr>
                <w:sz w:val="20"/>
                <w:szCs w:val="20"/>
              </w:rPr>
            </w:pPr>
            <w:r>
              <w:rPr>
                <w:sz w:val="20"/>
                <w:szCs w:val="20"/>
              </w:rPr>
              <w:t>3</w:t>
            </w:r>
          </w:p>
        </w:tc>
        <w:tc>
          <w:tcPr>
            <w:tcW w:w="2250" w:type="dxa"/>
          </w:tcPr>
          <w:p w14:paraId="26A78D53" w14:textId="77777777" w:rsidR="0015472F" w:rsidRPr="005D7D90" w:rsidRDefault="0015472F" w:rsidP="0015472F">
            <w:pPr>
              <w:jc w:val="center"/>
              <w:rPr>
                <w:sz w:val="20"/>
                <w:szCs w:val="20"/>
                <w:u w:val="single"/>
              </w:rPr>
            </w:pPr>
            <w:r w:rsidRPr="005D7D90">
              <w:rPr>
                <w:sz w:val="20"/>
                <w:szCs w:val="20"/>
                <w:u w:val="single"/>
              </w:rPr>
              <w:t>Selective reporting</w:t>
            </w:r>
          </w:p>
          <w:p w14:paraId="04E57F8C" w14:textId="05AD4209" w:rsidR="0015472F" w:rsidRDefault="0015472F" w:rsidP="0015472F">
            <w:pPr>
              <w:rPr>
                <w:sz w:val="20"/>
                <w:szCs w:val="20"/>
              </w:rPr>
            </w:pPr>
            <w:r>
              <w:rPr>
                <w:sz w:val="20"/>
                <w:szCs w:val="20"/>
              </w:rPr>
              <w:t>HCUP</w:t>
            </w:r>
            <w:r w:rsidR="00935035">
              <w:rPr>
                <w:rFonts w:ascii="Cambria" w:hAnsi="Cambria"/>
                <w:sz w:val="20"/>
                <w:szCs w:val="20"/>
              </w:rPr>
              <w:t>§</w:t>
            </w:r>
            <w:r>
              <w:rPr>
                <w:sz w:val="20"/>
                <w:szCs w:val="20"/>
              </w:rPr>
              <w:t xml:space="preserve"> data is national sampling, not complete for US.  Represents only inpatient discharges, therefore does not capture deaths prior to admission. Assumes correct ICD-9 coding/diagnosis by MD.  Also, no confirmatory testing for MH is conducted for every data patient.      </w:t>
            </w:r>
          </w:p>
        </w:tc>
      </w:tr>
    </w:tbl>
    <w:p w14:paraId="0098E556" w14:textId="77777777" w:rsidR="0015472F" w:rsidRDefault="0015472F" w:rsidP="0015472F"/>
    <w:tbl>
      <w:tblPr>
        <w:tblStyle w:val="TableGrid"/>
        <w:tblpPr w:leftFromText="180" w:rightFromText="180" w:vertAnchor="text" w:tblpX="85" w:tblpY="1"/>
        <w:tblOverlap w:val="never"/>
        <w:tblW w:w="13163" w:type="dxa"/>
        <w:tblLayout w:type="fixed"/>
        <w:tblLook w:val="04A0" w:firstRow="1" w:lastRow="0" w:firstColumn="1" w:lastColumn="0" w:noHBand="0" w:noVBand="1"/>
      </w:tblPr>
      <w:tblGrid>
        <w:gridCol w:w="3165"/>
        <w:gridCol w:w="1253"/>
        <w:gridCol w:w="3767"/>
        <w:gridCol w:w="1738"/>
        <w:gridCol w:w="1147"/>
        <w:gridCol w:w="2093"/>
      </w:tblGrid>
      <w:tr w:rsidR="0015472F" w14:paraId="58F10C64" w14:textId="77777777" w:rsidTr="00D63A6B">
        <w:trPr>
          <w:trHeight w:val="1997"/>
        </w:trPr>
        <w:tc>
          <w:tcPr>
            <w:tcW w:w="3165" w:type="dxa"/>
          </w:tcPr>
          <w:p w14:paraId="1AC3E762" w14:textId="3106882D" w:rsidR="00E40E00" w:rsidRPr="003D136F" w:rsidRDefault="00583CA7" w:rsidP="00E40E00">
            <w:pPr>
              <w:rPr>
                <w:rFonts w:asciiTheme="majorHAnsi" w:hAnsiTheme="majorHAnsi" w:cstheme="majorHAnsi"/>
              </w:rPr>
            </w:pPr>
            <w:r>
              <w:rPr>
                <w:rFonts w:asciiTheme="majorHAnsi" w:hAnsiTheme="majorHAnsi" w:cstheme="majorHAnsi"/>
                <w:b/>
              </w:rPr>
              <w:t xml:space="preserve">3.  </w:t>
            </w:r>
            <w:r w:rsidR="00E40E00" w:rsidRPr="003D136F">
              <w:rPr>
                <w:rFonts w:asciiTheme="majorHAnsi" w:hAnsiTheme="majorHAnsi" w:cstheme="majorHAnsi"/>
              </w:rPr>
              <w:t xml:space="preserve"> Nelson P, </w:t>
            </w:r>
            <w:proofErr w:type="spellStart"/>
            <w:r w:rsidR="00E40E00" w:rsidRPr="003D136F">
              <w:rPr>
                <w:rFonts w:asciiTheme="majorHAnsi" w:hAnsiTheme="majorHAnsi" w:cstheme="majorHAnsi"/>
              </w:rPr>
              <w:t>Litman</w:t>
            </w:r>
            <w:proofErr w:type="spellEnd"/>
            <w:r w:rsidR="00E40E00" w:rsidRPr="003D136F">
              <w:rPr>
                <w:rFonts w:asciiTheme="majorHAnsi" w:hAnsiTheme="majorHAnsi" w:cstheme="majorHAnsi"/>
              </w:rPr>
              <w:t xml:space="preserve"> RS</w:t>
            </w:r>
            <w:r w:rsidR="00567F04">
              <w:rPr>
                <w:rFonts w:asciiTheme="majorHAnsi" w:hAnsiTheme="majorHAnsi" w:cstheme="majorHAnsi"/>
              </w:rPr>
              <w:t>:</w:t>
            </w:r>
          </w:p>
          <w:p w14:paraId="04A2D150" w14:textId="77777777" w:rsidR="0015472F" w:rsidRPr="00E40E00" w:rsidRDefault="0015472F" w:rsidP="0015472F">
            <w:pPr>
              <w:rPr>
                <w:rFonts w:asciiTheme="majorHAnsi" w:hAnsiTheme="majorHAnsi" w:cstheme="majorHAnsi"/>
              </w:rPr>
            </w:pPr>
            <w:r w:rsidRPr="00E40E00">
              <w:rPr>
                <w:rFonts w:asciiTheme="majorHAnsi" w:hAnsiTheme="majorHAnsi" w:cstheme="majorHAnsi"/>
              </w:rPr>
              <w:t xml:space="preserve">Malignant hyperthermia in children: an </w:t>
            </w:r>
            <w:r w:rsidR="000E57D3" w:rsidRPr="00E40E00">
              <w:rPr>
                <w:rFonts w:asciiTheme="majorHAnsi" w:hAnsiTheme="majorHAnsi" w:cstheme="majorHAnsi"/>
              </w:rPr>
              <w:t>analysis of the North American Malignant Hyperthermia R</w:t>
            </w:r>
            <w:r w:rsidRPr="00E40E00">
              <w:rPr>
                <w:rFonts w:asciiTheme="majorHAnsi" w:hAnsiTheme="majorHAnsi" w:cstheme="majorHAnsi"/>
              </w:rPr>
              <w:t>egistry.</w:t>
            </w:r>
          </w:p>
          <w:p w14:paraId="649331D8" w14:textId="5D472CC4" w:rsidR="0015472F" w:rsidRPr="003D136F" w:rsidRDefault="0015472F" w:rsidP="00567F04">
            <w:pPr>
              <w:rPr>
                <w:rFonts w:asciiTheme="majorHAnsi" w:hAnsiTheme="majorHAnsi" w:cstheme="majorHAnsi"/>
              </w:rPr>
            </w:pPr>
            <w:proofErr w:type="spellStart"/>
            <w:r w:rsidRPr="003D136F">
              <w:rPr>
                <w:rFonts w:asciiTheme="majorHAnsi" w:hAnsiTheme="majorHAnsi" w:cstheme="majorHAnsi"/>
              </w:rPr>
              <w:t>Anesth</w:t>
            </w:r>
            <w:proofErr w:type="spellEnd"/>
            <w:r w:rsidRPr="003D136F">
              <w:rPr>
                <w:rFonts w:asciiTheme="majorHAnsi" w:hAnsiTheme="majorHAnsi" w:cstheme="majorHAnsi"/>
              </w:rPr>
              <w:t xml:space="preserve"> Analg 2014</w:t>
            </w:r>
            <w:proofErr w:type="gramStart"/>
            <w:r w:rsidRPr="003D136F">
              <w:rPr>
                <w:rFonts w:asciiTheme="majorHAnsi" w:hAnsiTheme="majorHAnsi" w:cstheme="majorHAnsi"/>
              </w:rPr>
              <w:t>;118:369</w:t>
            </w:r>
            <w:proofErr w:type="gramEnd"/>
            <w:r w:rsidRPr="003D136F">
              <w:rPr>
                <w:rFonts w:asciiTheme="majorHAnsi" w:hAnsiTheme="majorHAnsi" w:cstheme="majorHAnsi"/>
              </w:rPr>
              <w:t xml:space="preserve">-74 </w:t>
            </w:r>
          </w:p>
        </w:tc>
        <w:tc>
          <w:tcPr>
            <w:tcW w:w="1253" w:type="dxa"/>
          </w:tcPr>
          <w:p w14:paraId="6357F093" w14:textId="291E61BA" w:rsidR="0015472F" w:rsidRPr="00A8597E" w:rsidRDefault="0086060B" w:rsidP="0015472F">
            <w:pPr>
              <w:rPr>
                <w:sz w:val="20"/>
                <w:szCs w:val="20"/>
              </w:rPr>
            </w:pPr>
            <w:r>
              <w:rPr>
                <w:sz w:val="20"/>
                <w:szCs w:val="20"/>
              </w:rPr>
              <w:t>NAMHR</w:t>
            </w:r>
          </w:p>
        </w:tc>
        <w:tc>
          <w:tcPr>
            <w:tcW w:w="3767" w:type="dxa"/>
          </w:tcPr>
          <w:p w14:paraId="3FB52B9E" w14:textId="77777777" w:rsidR="0015472F" w:rsidRDefault="0015472F" w:rsidP="0015472F">
            <w:pPr>
              <w:rPr>
                <w:sz w:val="20"/>
                <w:szCs w:val="20"/>
              </w:rPr>
            </w:pPr>
            <w:r>
              <w:rPr>
                <w:sz w:val="20"/>
                <w:szCs w:val="20"/>
              </w:rPr>
              <w:t>-Searched for AMRA</w:t>
            </w:r>
          </w:p>
          <w:p w14:paraId="24571BAD" w14:textId="77777777" w:rsidR="0015472F" w:rsidRDefault="0015472F" w:rsidP="0015472F">
            <w:pPr>
              <w:rPr>
                <w:sz w:val="20"/>
                <w:szCs w:val="20"/>
              </w:rPr>
            </w:pPr>
            <w:r>
              <w:rPr>
                <w:sz w:val="20"/>
                <w:szCs w:val="20"/>
              </w:rPr>
              <w:t>-US and Canada</w:t>
            </w:r>
          </w:p>
          <w:p w14:paraId="3CCD7611" w14:textId="1C7C3B4B" w:rsidR="0015472F" w:rsidRDefault="0015472F" w:rsidP="0015472F">
            <w:pPr>
              <w:rPr>
                <w:sz w:val="20"/>
                <w:szCs w:val="20"/>
              </w:rPr>
            </w:pPr>
            <w:r>
              <w:rPr>
                <w:sz w:val="20"/>
                <w:szCs w:val="20"/>
              </w:rPr>
              <w:t>-</w:t>
            </w:r>
            <w:proofErr w:type="gramStart"/>
            <w:r>
              <w:rPr>
                <w:sz w:val="20"/>
                <w:szCs w:val="20"/>
              </w:rPr>
              <w:t>351  Pediatric</w:t>
            </w:r>
            <w:proofErr w:type="gramEnd"/>
            <w:r>
              <w:rPr>
                <w:sz w:val="20"/>
                <w:szCs w:val="20"/>
              </w:rPr>
              <w:t xml:space="preserve"> </w:t>
            </w:r>
            <w:proofErr w:type="spellStart"/>
            <w:r>
              <w:rPr>
                <w:sz w:val="20"/>
                <w:szCs w:val="20"/>
              </w:rPr>
              <w:t>pts</w:t>
            </w:r>
            <w:proofErr w:type="spellEnd"/>
            <w:r>
              <w:rPr>
                <w:sz w:val="20"/>
                <w:szCs w:val="20"/>
              </w:rPr>
              <w:t xml:space="preserve"> (</w:t>
            </w:r>
            <w:r>
              <w:rPr>
                <w:sz w:val="20"/>
                <w:szCs w:val="20"/>
                <w:u w:val="single"/>
              </w:rPr>
              <w:t>&lt;</w:t>
            </w:r>
            <w:r w:rsidR="00935035">
              <w:rPr>
                <w:sz w:val="20"/>
                <w:szCs w:val="20"/>
              </w:rPr>
              <w:t>18 y</w:t>
            </w:r>
            <w:r>
              <w:rPr>
                <w:sz w:val="20"/>
                <w:szCs w:val="20"/>
              </w:rPr>
              <w:t>) from 1960 - 2011</w:t>
            </w:r>
          </w:p>
          <w:p w14:paraId="31374930" w14:textId="77777777" w:rsidR="0015472F" w:rsidRDefault="0015472F" w:rsidP="0015472F">
            <w:pPr>
              <w:rPr>
                <w:sz w:val="20"/>
                <w:szCs w:val="20"/>
              </w:rPr>
            </w:pPr>
            <w:r>
              <w:rPr>
                <w:sz w:val="20"/>
                <w:szCs w:val="20"/>
              </w:rPr>
              <w:t>-264 reports</w:t>
            </w:r>
          </w:p>
          <w:p w14:paraId="30FF7634" w14:textId="77777777" w:rsidR="0015472F" w:rsidRDefault="0015472F" w:rsidP="0015472F">
            <w:pPr>
              <w:rPr>
                <w:sz w:val="20"/>
                <w:szCs w:val="20"/>
              </w:rPr>
            </w:pPr>
            <w:r w:rsidRPr="00C8058D">
              <w:rPr>
                <w:sz w:val="20"/>
                <w:szCs w:val="20"/>
              </w:rPr>
              <w:t xml:space="preserve">-Identified </w:t>
            </w:r>
            <w:r>
              <w:rPr>
                <w:sz w:val="20"/>
                <w:szCs w:val="20"/>
              </w:rPr>
              <w:t xml:space="preserve">event </w:t>
            </w:r>
            <w:r w:rsidRPr="00C8058D">
              <w:rPr>
                <w:sz w:val="20"/>
                <w:szCs w:val="20"/>
              </w:rPr>
              <w:t>as MH CGS “very likely” or “almost certain”</w:t>
            </w:r>
          </w:p>
          <w:p w14:paraId="53667278" w14:textId="2400BAF1" w:rsidR="0015472F" w:rsidRDefault="0015472F" w:rsidP="0015472F">
            <w:pPr>
              <w:rPr>
                <w:sz w:val="20"/>
                <w:szCs w:val="20"/>
              </w:rPr>
            </w:pPr>
            <w:r>
              <w:rPr>
                <w:sz w:val="20"/>
                <w:szCs w:val="20"/>
              </w:rPr>
              <w:t>-3</w:t>
            </w:r>
            <w:r w:rsidR="00F467B2">
              <w:rPr>
                <w:sz w:val="20"/>
                <w:szCs w:val="20"/>
              </w:rPr>
              <w:t xml:space="preserve"> cohorts: 0-24 m</w:t>
            </w:r>
            <w:proofErr w:type="gramStart"/>
            <w:r w:rsidR="00F467B2">
              <w:rPr>
                <w:sz w:val="20"/>
                <w:szCs w:val="20"/>
              </w:rPr>
              <w:t>,25</w:t>
            </w:r>
            <w:proofErr w:type="gramEnd"/>
            <w:r w:rsidR="00F467B2">
              <w:rPr>
                <w:sz w:val="20"/>
                <w:szCs w:val="20"/>
              </w:rPr>
              <w:t xml:space="preserve"> m</w:t>
            </w:r>
            <w:r w:rsidR="00935035">
              <w:rPr>
                <w:sz w:val="20"/>
                <w:szCs w:val="20"/>
              </w:rPr>
              <w:t>– 12 y, 13 – 18 y</w:t>
            </w:r>
          </w:p>
          <w:p w14:paraId="1C424DAC" w14:textId="6657A6E2" w:rsidR="0015472F" w:rsidRPr="00C8058D" w:rsidRDefault="00F467B2" w:rsidP="0015472F">
            <w:pPr>
              <w:rPr>
                <w:sz w:val="20"/>
                <w:szCs w:val="20"/>
              </w:rPr>
            </w:pPr>
            <w:r>
              <w:rPr>
                <w:sz w:val="20"/>
                <w:szCs w:val="20"/>
              </w:rPr>
              <w:t xml:space="preserve">-10 deaths: 6 in 25 m-12 y, </w:t>
            </w:r>
            <w:r w:rsidR="0015472F">
              <w:rPr>
                <w:sz w:val="20"/>
                <w:szCs w:val="20"/>
              </w:rPr>
              <w:t>4 in 13-18 y</w:t>
            </w:r>
          </w:p>
        </w:tc>
        <w:tc>
          <w:tcPr>
            <w:tcW w:w="1738" w:type="dxa"/>
          </w:tcPr>
          <w:p w14:paraId="36AA7E6D" w14:textId="196CF375" w:rsidR="0015472F" w:rsidRDefault="00935035" w:rsidP="0015472F">
            <w:pPr>
              <w:jc w:val="center"/>
              <w:rPr>
                <w:sz w:val="20"/>
                <w:szCs w:val="20"/>
              </w:rPr>
            </w:pPr>
            <w:r>
              <w:rPr>
                <w:sz w:val="20"/>
                <w:szCs w:val="20"/>
              </w:rPr>
              <w:t xml:space="preserve">25 </w:t>
            </w:r>
            <w:proofErr w:type="spellStart"/>
            <w:r>
              <w:rPr>
                <w:sz w:val="20"/>
                <w:szCs w:val="20"/>
              </w:rPr>
              <w:t>mo</w:t>
            </w:r>
            <w:proofErr w:type="spellEnd"/>
            <w:r>
              <w:rPr>
                <w:sz w:val="20"/>
                <w:szCs w:val="20"/>
              </w:rPr>
              <w:t xml:space="preserve"> – 12 y</w:t>
            </w:r>
          </w:p>
          <w:p w14:paraId="45C0E541" w14:textId="77777777" w:rsidR="0015472F" w:rsidRDefault="0015472F" w:rsidP="0015472F">
            <w:pPr>
              <w:jc w:val="center"/>
              <w:rPr>
                <w:sz w:val="20"/>
                <w:szCs w:val="20"/>
              </w:rPr>
            </w:pPr>
            <w:r>
              <w:rPr>
                <w:sz w:val="20"/>
                <w:szCs w:val="20"/>
              </w:rPr>
              <w:t>3.7%</w:t>
            </w:r>
          </w:p>
          <w:p w14:paraId="1427B74C" w14:textId="77777777" w:rsidR="0015472F" w:rsidRDefault="0015472F" w:rsidP="0015472F">
            <w:pPr>
              <w:jc w:val="center"/>
              <w:rPr>
                <w:sz w:val="20"/>
                <w:szCs w:val="20"/>
              </w:rPr>
            </w:pPr>
          </w:p>
          <w:p w14:paraId="52AF996D" w14:textId="77777777" w:rsidR="0015472F" w:rsidRDefault="0015472F" w:rsidP="0015472F">
            <w:pPr>
              <w:jc w:val="center"/>
              <w:rPr>
                <w:sz w:val="20"/>
                <w:szCs w:val="20"/>
              </w:rPr>
            </w:pPr>
            <w:r>
              <w:rPr>
                <w:sz w:val="20"/>
                <w:szCs w:val="20"/>
              </w:rPr>
              <w:t>_____________</w:t>
            </w:r>
          </w:p>
          <w:p w14:paraId="359DDAFE" w14:textId="26D2F27C" w:rsidR="0015472F" w:rsidRDefault="00935035" w:rsidP="0015472F">
            <w:pPr>
              <w:jc w:val="center"/>
              <w:rPr>
                <w:sz w:val="20"/>
                <w:szCs w:val="20"/>
              </w:rPr>
            </w:pPr>
            <w:r>
              <w:rPr>
                <w:sz w:val="20"/>
                <w:szCs w:val="20"/>
              </w:rPr>
              <w:t>13 – 18 y</w:t>
            </w:r>
          </w:p>
          <w:p w14:paraId="03E70770" w14:textId="77777777" w:rsidR="0015472F" w:rsidRDefault="0015472F" w:rsidP="0015472F">
            <w:pPr>
              <w:jc w:val="center"/>
              <w:rPr>
                <w:sz w:val="20"/>
                <w:szCs w:val="20"/>
              </w:rPr>
            </w:pPr>
            <w:r>
              <w:rPr>
                <w:sz w:val="20"/>
                <w:szCs w:val="20"/>
              </w:rPr>
              <w:t>6.1%</w:t>
            </w:r>
          </w:p>
          <w:p w14:paraId="5114F9E6" w14:textId="77777777" w:rsidR="00CD1478" w:rsidRDefault="00CD1478" w:rsidP="0015472F">
            <w:pPr>
              <w:jc w:val="center"/>
              <w:rPr>
                <w:sz w:val="20"/>
                <w:szCs w:val="20"/>
              </w:rPr>
            </w:pPr>
          </w:p>
          <w:p w14:paraId="2CC3DED2" w14:textId="77777777" w:rsidR="00CD1478" w:rsidRPr="00A8597E" w:rsidRDefault="00CD1478" w:rsidP="0015472F">
            <w:pPr>
              <w:jc w:val="center"/>
              <w:rPr>
                <w:sz w:val="20"/>
                <w:szCs w:val="20"/>
              </w:rPr>
            </w:pPr>
            <w:r>
              <w:rPr>
                <w:sz w:val="20"/>
                <w:szCs w:val="20"/>
              </w:rPr>
              <w:t>Overall death rate was 10/264=3.8% with all deaths occurring between 1990 and 2010</w:t>
            </w:r>
          </w:p>
        </w:tc>
        <w:tc>
          <w:tcPr>
            <w:tcW w:w="1147" w:type="dxa"/>
          </w:tcPr>
          <w:p w14:paraId="7147F833" w14:textId="77777777" w:rsidR="0015472F" w:rsidRPr="004E1C05" w:rsidRDefault="00530036" w:rsidP="0015472F">
            <w:pPr>
              <w:jc w:val="center"/>
              <w:rPr>
                <w:i/>
                <w:sz w:val="20"/>
                <w:szCs w:val="20"/>
              </w:rPr>
            </w:pPr>
            <w:r>
              <w:rPr>
                <w:sz w:val="20"/>
                <w:szCs w:val="20"/>
              </w:rPr>
              <w:t>3</w:t>
            </w:r>
          </w:p>
        </w:tc>
        <w:tc>
          <w:tcPr>
            <w:tcW w:w="2093" w:type="dxa"/>
          </w:tcPr>
          <w:p w14:paraId="7109BB87" w14:textId="77777777" w:rsidR="0015472F" w:rsidRPr="005D7D90" w:rsidRDefault="0015472F" w:rsidP="0015472F">
            <w:pPr>
              <w:jc w:val="center"/>
              <w:rPr>
                <w:sz w:val="20"/>
                <w:szCs w:val="20"/>
                <w:u w:val="single"/>
              </w:rPr>
            </w:pPr>
            <w:r w:rsidRPr="005D7D90">
              <w:rPr>
                <w:sz w:val="20"/>
                <w:szCs w:val="20"/>
                <w:u w:val="single"/>
              </w:rPr>
              <w:t>Selective reporting</w:t>
            </w:r>
          </w:p>
          <w:p w14:paraId="1D6C25C1" w14:textId="77777777" w:rsidR="0015472F" w:rsidRDefault="0015472F" w:rsidP="0015472F">
            <w:pPr>
              <w:rPr>
                <w:sz w:val="20"/>
                <w:szCs w:val="20"/>
              </w:rPr>
            </w:pPr>
            <w:r>
              <w:rPr>
                <w:sz w:val="20"/>
                <w:szCs w:val="20"/>
              </w:rPr>
              <w:t xml:space="preserve">Registry data dependent on voluntary reporting, therefore not all events captured.  Also, those reporting may have incomplete/ misdiagnosed patient event.  Also, no confirmatory testing for MH is conducted for every registered event.  </w:t>
            </w:r>
            <w:r w:rsidR="00583CA7">
              <w:rPr>
                <w:sz w:val="20"/>
                <w:szCs w:val="20"/>
              </w:rPr>
              <w:t xml:space="preserve"> Dataset overlaps </w:t>
            </w:r>
            <w:r w:rsidR="004828B6">
              <w:rPr>
                <w:sz w:val="20"/>
                <w:szCs w:val="20"/>
              </w:rPr>
              <w:t xml:space="preserve">partially </w:t>
            </w:r>
            <w:r w:rsidR="00583CA7">
              <w:rPr>
                <w:sz w:val="20"/>
                <w:szCs w:val="20"/>
              </w:rPr>
              <w:t>with reference #1 and #5</w:t>
            </w:r>
          </w:p>
        </w:tc>
      </w:tr>
      <w:tr w:rsidR="0015472F" w14:paraId="3538A617" w14:textId="77777777" w:rsidTr="00D63A6B">
        <w:trPr>
          <w:trHeight w:val="4310"/>
        </w:trPr>
        <w:tc>
          <w:tcPr>
            <w:tcW w:w="3165" w:type="dxa"/>
          </w:tcPr>
          <w:p w14:paraId="327549C5" w14:textId="0148E70A" w:rsidR="0015472F" w:rsidRPr="00E40E00" w:rsidRDefault="00583CA7" w:rsidP="0015472F">
            <w:pPr>
              <w:rPr>
                <w:rFonts w:asciiTheme="majorHAnsi" w:hAnsiTheme="majorHAnsi" w:cstheme="majorHAnsi"/>
              </w:rPr>
            </w:pPr>
            <w:r>
              <w:rPr>
                <w:rFonts w:asciiTheme="majorHAnsi" w:hAnsiTheme="majorHAnsi" w:cstheme="majorHAnsi"/>
                <w:b/>
              </w:rPr>
              <w:lastRenderedPageBreak/>
              <w:t xml:space="preserve">4.  </w:t>
            </w:r>
            <w:r w:rsidR="00E40E00" w:rsidRPr="00C322D7">
              <w:rPr>
                <w:rFonts w:asciiTheme="majorHAnsi" w:hAnsiTheme="majorHAnsi" w:cstheme="majorHAnsi"/>
              </w:rPr>
              <w:t xml:space="preserve"> Li G, Brady JE, Rosenberg H, Sun LS</w:t>
            </w:r>
            <w:r w:rsidR="00567F04">
              <w:rPr>
                <w:rFonts w:asciiTheme="majorHAnsi" w:hAnsiTheme="majorHAnsi" w:cstheme="majorHAnsi"/>
              </w:rPr>
              <w:t>:</w:t>
            </w:r>
            <w:r w:rsidR="00E40E00">
              <w:rPr>
                <w:rFonts w:asciiTheme="majorHAnsi" w:hAnsiTheme="majorHAnsi" w:cstheme="majorHAnsi"/>
              </w:rPr>
              <w:t xml:space="preserve"> </w:t>
            </w:r>
            <w:r w:rsidR="0015472F" w:rsidRPr="00E40E00">
              <w:rPr>
                <w:rFonts w:asciiTheme="majorHAnsi" w:hAnsiTheme="majorHAnsi" w:cstheme="majorHAnsi"/>
              </w:rPr>
              <w:t>Excess comorbidities associated with malignant hyperthermia diagnosis in pediatric hospital discharge records.</w:t>
            </w:r>
          </w:p>
          <w:p w14:paraId="589BE48E" w14:textId="41347A1F" w:rsidR="0015472F" w:rsidRPr="003D136F" w:rsidRDefault="00192107" w:rsidP="00567F04">
            <w:pPr>
              <w:rPr>
                <w:rFonts w:asciiTheme="majorHAnsi" w:hAnsiTheme="majorHAnsi" w:cstheme="majorHAnsi"/>
                <w:b/>
              </w:rPr>
            </w:pPr>
            <w:proofErr w:type="spellStart"/>
            <w:r>
              <w:rPr>
                <w:rFonts w:asciiTheme="majorHAnsi" w:hAnsiTheme="majorHAnsi" w:cstheme="majorHAnsi"/>
              </w:rPr>
              <w:t>Paediatr</w:t>
            </w:r>
            <w:proofErr w:type="spellEnd"/>
            <w:r>
              <w:rPr>
                <w:rFonts w:asciiTheme="majorHAnsi" w:hAnsiTheme="majorHAnsi" w:cstheme="majorHAnsi"/>
              </w:rPr>
              <w:t xml:space="preserve"> </w:t>
            </w:r>
            <w:proofErr w:type="spellStart"/>
            <w:r>
              <w:rPr>
                <w:rFonts w:asciiTheme="majorHAnsi" w:hAnsiTheme="majorHAnsi" w:cstheme="majorHAnsi"/>
              </w:rPr>
              <w:t>Anaesth</w:t>
            </w:r>
            <w:proofErr w:type="spellEnd"/>
            <w:r>
              <w:rPr>
                <w:rFonts w:asciiTheme="majorHAnsi" w:hAnsiTheme="majorHAnsi" w:cstheme="majorHAnsi"/>
              </w:rPr>
              <w:t xml:space="preserve"> 2011</w:t>
            </w:r>
            <w:proofErr w:type="gramStart"/>
            <w:r w:rsidR="0015472F" w:rsidRPr="00C322D7">
              <w:rPr>
                <w:rFonts w:asciiTheme="majorHAnsi" w:hAnsiTheme="majorHAnsi" w:cstheme="majorHAnsi"/>
              </w:rPr>
              <w:t>;21:958</w:t>
            </w:r>
            <w:proofErr w:type="gramEnd"/>
            <w:r w:rsidR="0015472F" w:rsidRPr="00C322D7">
              <w:rPr>
                <w:rFonts w:asciiTheme="majorHAnsi" w:hAnsiTheme="majorHAnsi" w:cstheme="majorHAnsi"/>
              </w:rPr>
              <w:t>-63</w:t>
            </w:r>
          </w:p>
        </w:tc>
        <w:tc>
          <w:tcPr>
            <w:tcW w:w="1253" w:type="dxa"/>
          </w:tcPr>
          <w:p w14:paraId="6F9BFB31" w14:textId="77777777" w:rsidR="0015472F" w:rsidRDefault="0015472F" w:rsidP="0015472F">
            <w:pPr>
              <w:rPr>
                <w:sz w:val="20"/>
                <w:szCs w:val="20"/>
              </w:rPr>
            </w:pPr>
            <w:r>
              <w:rPr>
                <w:sz w:val="20"/>
                <w:szCs w:val="20"/>
              </w:rPr>
              <w:t>Kids’ Inpatient Database</w:t>
            </w:r>
          </w:p>
        </w:tc>
        <w:tc>
          <w:tcPr>
            <w:tcW w:w="3767" w:type="dxa"/>
          </w:tcPr>
          <w:p w14:paraId="4E007E50" w14:textId="77777777" w:rsidR="0015472F" w:rsidRDefault="0015472F" w:rsidP="0015472F">
            <w:pPr>
              <w:rPr>
                <w:sz w:val="20"/>
                <w:szCs w:val="20"/>
              </w:rPr>
            </w:pPr>
            <w:r>
              <w:rPr>
                <w:sz w:val="20"/>
                <w:szCs w:val="20"/>
              </w:rPr>
              <w:t xml:space="preserve">-Searched </w:t>
            </w:r>
            <w:r w:rsidRPr="004A509C">
              <w:rPr>
                <w:b/>
                <w:sz w:val="20"/>
                <w:szCs w:val="20"/>
              </w:rPr>
              <w:t xml:space="preserve">ICD-9 code </w:t>
            </w:r>
            <w:r>
              <w:rPr>
                <w:sz w:val="20"/>
                <w:szCs w:val="20"/>
              </w:rPr>
              <w:t>for MH</w:t>
            </w:r>
          </w:p>
          <w:p w14:paraId="03FA921E" w14:textId="77777777" w:rsidR="0015472F" w:rsidRDefault="0015472F" w:rsidP="0015472F">
            <w:pPr>
              <w:rPr>
                <w:sz w:val="20"/>
                <w:szCs w:val="20"/>
              </w:rPr>
            </w:pPr>
            <w:r>
              <w:rPr>
                <w:sz w:val="20"/>
                <w:szCs w:val="20"/>
              </w:rPr>
              <w:t>-Dates 2000,2003,2006</w:t>
            </w:r>
          </w:p>
          <w:p w14:paraId="3EC42E37" w14:textId="57C93CA8" w:rsidR="0015472F" w:rsidRDefault="00F467B2" w:rsidP="0015472F">
            <w:pPr>
              <w:rPr>
                <w:sz w:val="20"/>
                <w:szCs w:val="20"/>
              </w:rPr>
            </w:pPr>
            <w:r>
              <w:rPr>
                <w:sz w:val="20"/>
                <w:szCs w:val="20"/>
              </w:rPr>
              <w:t>-Patients &lt;21 y</w:t>
            </w:r>
          </w:p>
          <w:p w14:paraId="072DB8FE" w14:textId="77777777" w:rsidR="0015472F" w:rsidRDefault="0015472F" w:rsidP="0015472F">
            <w:pPr>
              <w:rPr>
                <w:sz w:val="20"/>
                <w:szCs w:val="20"/>
              </w:rPr>
            </w:pPr>
            <w:r>
              <w:rPr>
                <w:sz w:val="20"/>
                <w:szCs w:val="20"/>
              </w:rPr>
              <w:t>-175 patient diagnosis MH</w:t>
            </w:r>
          </w:p>
          <w:p w14:paraId="001EA6EB" w14:textId="77777777" w:rsidR="0015472F" w:rsidRDefault="0015472F" w:rsidP="0015472F">
            <w:pPr>
              <w:rPr>
                <w:sz w:val="20"/>
                <w:szCs w:val="20"/>
              </w:rPr>
            </w:pPr>
          </w:p>
        </w:tc>
        <w:tc>
          <w:tcPr>
            <w:tcW w:w="1738" w:type="dxa"/>
          </w:tcPr>
          <w:p w14:paraId="32F63327" w14:textId="77777777" w:rsidR="0015472F" w:rsidRDefault="0015472F" w:rsidP="0015472F">
            <w:pPr>
              <w:jc w:val="center"/>
              <w:rPr>
                <w:sz w:val="20"/>
                <w:szCs w:val="20"/>
              </w:rPr>
            </w:pPr>
            <w:r>
              <w:rPr>
                <w:sz w:val="20"/>
                <w:szCs w:val="20"/>
              </w:rPr>
              <w:t>4.6%</w:t>
            </w:r>
          </w:p>
        </w:tc>
        <w:tc>
          <w:tcPr>
            <w:tcW w:w="1147" w:type="dxa"/>
          </w:tcPr>
          <w:p w14:paraId="2A153856" w14:textId="77777777" w:rsidR="0015472F" w:rsidRPr="004E1C05" w:rsidRDefault="00530036" w:rsidP="0015472F">
            <w:pPr>
              <w:jc w:val="center"/>
              <w:rPr>
                <w:i/>
                <w:sz w:val="20"/>
                <w:szCs w:val="20"/>
              </w:rPr>
            </w:pPr>
            <w:r>
              <w:rPr>
                <w:sz w:val="20"/>
                <w:szCs w:val="20"/>
              </w:rPr>
              <w:t>3</w:t>
            </w:r>
          </w:p>
        </w:tc>
        <w:tc>
          <w:tcPr>
            <w:tcW w:w="2093" w:type="dxa"/>
          </w:tcPr>
          <w:p w14:paraId="0B1F02F4" w14:textId="77777777" w:rsidR="0015472F" w:rsidRPr="005D7D90" w:rsidRDefault="0015472F" w:rsidP="0015472F">
            <w:pPr>
              <w:jc w:val="center"/>
              <w:rPr>
                <w:sz w:val="20"/>
                <w:szCs w:val="20"/>
                <w:u w:val="single"/>
              </w:rPr>
            </w:pPr>
            <w:r w:rsidRPr="005D7D90">
              <w:rPr>
                <w:sz w:val="20"/>
                <w:szCs w:val="20"/>
                <w:u w:val="single"/>
              </w:rPr>
              <w:t>Selective reporting</w:t>
            </w:r>
          </w:p>
          <w:p w14:paraId="3FC0F799" w14:textId="77777777" w:rsidR="0015472F" w:rsidRDefault="0015472F" w:rsidP="0015472F">
            <w:pPr>
              <w:rPr>
                <w:sz w:val="20"/>
                <w:szCs w:val="20"/>
              </w:rPr>
            </w:pPr>
            <w:r>
              <w:rPr>
                <w:sz w:val="20"/>
                <w:szCs w:val="20"/>
              </w:rPr>
              <w:t xml:space="preserve">HCUP data is national sampling, not complete for US.  Represents only inpatient discharges, therefore does not capture deaths prior to admission. </w:t>
            </w:r>
            <w:r w:rsidRPr="00B44786">
              <w:rPr>
                <w:b/>
                <w:sz w:val="20"/>
                <w:szCs w:val="20"/>
              </w:rPr>
              <w:t>Assumes correct ICD-9 coding/</w:t>
            </w:r>
            <w:r>
              <w:rPr>
                <w:sz w:val="20"/>
                <w:szCs w:val="20"/>
              </w:rPr>
              <w:t>diagnosis by MD.  Also, no confirmatory testing for MH is conducted for every data patient.</w:t>
            </w:r>
          </w:p>
          <w:p w14:paraId="68E781D2" w14:textId="77777777" w:rsidR="0015472F" w:rsidRDefault="0015472F" w:rsidP="0015472F">
            <w:pPr>
              <w:rPr>
                <w:sz w:val="20"/>
                <w:szCs w:val="20"/>
              </w:rPr>
            </w:pPr>
          </w:p>
          <w:p w14:paraId="146C3BF2" w14:textId="77777777" w:rsidR="0015472F" w:rsidRDefault="0015472F" w:rsidP="0015472F">
            <w:pPr>
              <w:rPr>
                <w:sz w:val="20"/>
                <w:szCs w:val="20"/>
              </w:rPr>
            </w:pPr>
          </w:p>
          <w:p w14:paraId="1744608C" w14:textId="77777777" w:rsidR="0015472F" w:rsidRDefault="0015472F" w:rsidP="0015472F">
            <w:pPr>
              <w:rPr>
                <w:sz w:val="20"/>
                <w:szCs w:val="20"/>
              </w:rPr>
            </w:pPr>
            <w:r>
              <w:rPr>
                <w:sz w:val="20"/>
                <w:szCs w:val="20"/>
              </w:rPr>
              <w:t xml:space="preserve">    </w:t>
            </w:r>
          </w:p>
        </w:tc>
      </w:tr>
      <w:tr w:rsidR="0015472F" w14:paraId="13B66267" w14:textId="77777777" w:rsidTr="00D63A6B">
        <w:trPr>
          <w:trHeight w:val="3680"/>
        </w:trPr>
        <w:tc>
          <w:tcPr>
            <w:tcW w:w="3165" w:type="dxa"/>
          </w:tcPr>
          <w:p w14:paraId="594881EB" w14:textId="0F564CDE" w:rsidR="0015472F" w:rsidRPr="00E40E00" w:rsidRDefault="00583CA7" w:rsidP="0015472F">
            <w:pPr>
              <w:rPr>
                <w:rFonts w:asciiTheme="majorHAnsi" w:hAnsiTheme="majorHAnsi" w:cstheme="majorHAnsi"/>
              </w:rPr>
            </w:pPr>
            <w:r>
              <w:rPr>
                <w:rFonts w:asciiTheme="majorHAnsi" w:hAnsiTheme="majorHAnsi" w:cstheme="majorHAnsi"/>
                <w:b/>
              </w:rPr>
              <w:t xml:space="preserve">5.  </w:t>
            </w:r>
            <w:r w:rsidR="00E40E00" w:rsidRPr="003D136F">
              <w:rPr>
                <w:rFonts w:asciiTheme="majorHAnsi" w:hAnsiTheme="majorHAnsi" w:cstheme="majorHAnsi"/>
              </w:rPr>
              <w:t xml:space="preserve"> Larach MG, </w:t>
            </w:r>
            <w:proofErr w:type="spellStart"/>
            <w:r w:rsidR="00E40E00" w:rsidRPr="003D136F">
              <w:rPr>
                <w:rFonts w:asciiTheme="majorHAnsi" w:hAnsiTheme="majorHAnsi" w:cstheme="majorHAnsi"/>
              </w:rPr>
              <w:t>Brandom</w:t>
            </w:r>
            <w:proofErr w:type="spellEnd"/>
            <w:r w:rsidR="00E40E00" w:rsidRPr="003D136F">
              <w:rPr>
                <w:rFonts w:asciiTheme="majorHAnsi" w:hAnsiTheme="majorHAnsi" w:cstheme="majorHAnsi"/>
              </w:rPr>
              <w:t xml:space="preserve"> BW, Allen GC, Gronert GA, Lehman EB</w:t>
            </w:r>
            <w:r w:rsidR="00567F04">
              <w:rPr>
                <w:rFonts w:asciiTheme="majorHAnsi" w:hAnsiTheme="majorHAnsi" w:cstheme="majorHAnsi"/>
              </w:rPr>
              <w:t>:</w:t>
            </w:r>
            <w:r w:rsidR="00E40E00" w:rsidRPr="003D136F">
              <w:rPr>
                <w:rFonts w:asciiTheme="majorHAnsi" w:hAnsiTheme="majorHAnsi" w:cstheme="majorHAnsi"/>
              </w:rPr>
              <w:t xml:space="preserve"> </w:t>
            </w:r>
            <w:r w:rsidR="0015472F" w:rsidRPr="00E40E00">
              <w:rPr>
                <w:rFonts w:asciiTheme="majorHAnsi" w:hAnsiTheme="majorHAnsi" w:cstheme="majorHAnsi"/>
              </w:rPr>
              <w:t xml:space="preserve">Cardiac arrests and deaths associated </w:t>
            </w:r>
            <w:r w:rsidR="00F467B2" w:rsidRPr="00E40E00">
              <w:rPr>
                <w:rFonts w:asciiTheme="majorHAnsi" w:hAnsiTheme="majorHAnsi" w:cstheme="majorHAnsi"/>
              </w:rPr>
              <w:t>with malignant hyperthermia in North A</w:t>
            </w:r>
            <w:r w:rsidR="0015472F" w:rsidRPr="00E40E00">
              <w:rPr>
                <w:rFonts w:asciiTheme="majorHAnsi" w:hAnsiTheme="majorHAnsi" w:cstheme="majorHAnsi"/>
              </w:rPr>
              <w:t>merica from 1</w:t>
            </w:r>
            <w:r w:rsidR="00F467B2" w:rsidRPr="00E40E00">
              <w:rPr>
                <w:rFonts w:asciiTheme="majorHAnsi" w:hAnsiTheme="majorHAnsi" w:cstheme="majorHAnsi"/>
              </w:rPr>
              <w:t>987 to 2006: a report from the North American Malignant Hyperthermia Registry of the Malignant Hyperthermia A</w:t>
            </w:r>
            <w:r w:rsidR="0015472F" w:rsidRPr="00E40E00">
              <w:rPr>
                <w:rFonts w:asciiTheme="majorHAnsi" w:hAnsiTheme="majorHAnsi" w:cstheme="majorHAnsi"/>
              </w:rPr>
              <w:t>ssociation of the United States.</w:t>
            </w:r>
          </w:p>
          <w:p w14:paraId="4DACEBBD" w14:textId="02AD80C5" w:rsidR="0015472F" w:rsidRPr="003D136F" w:rsidRDefault="00567F04" w:rsidP="00567F04">
            <w:pPr>
              <w:rPr>
                <w:rFonts w:asciiTheme="majorHAnsi" w:hAnsiTheme="majorHAnsi" w:cstheme="majorHAnsi"/>
              </w:rPr>
            </w:pPr>
            <w:r>
              <w:rPr>
                <w:rFonts w:asciiTheme="majorHAnsi" w:hAnsiTheme="majorHAnsi" w:cstheme="majorHAnsi"/>
              </w:rPr>
              <w:t>Anesthesiology</w:t>
            </w:r>
            <w:r w:rsidR="0015472F" w:rsidRPr="003D136F">
              <w:rPr>
                <w:rFonts w:asciiTheme="majorHAnsi" w:hAnsiTheme="majorHAnsi" w:cstheme="majorHAnsi"/>
              </w:rPr>
              <w:t xml:space="preserve"> </w:t>
            </w:r>
            <w:r w:rsidR="0015472F" w:rsidRPr="003D136F">
              <w:rPr>
                <w:rFonts w:asciiTheme="majorHAnsi" w:hAnsiTheme="majorHAnsi" w:cstheme="majorHAnsi"/>
              </w:rPr>
              <w:lastRenderedPageBreak/>
              <w:t>2008</w:t>
            </w:r>
            <w:proofErr w:type="gramStart"/>
            <w:r w:rsidR="0015472F" w:rsidRPr="003D136F">
              <w:rPr>
                <w:rFonts w:asciiTheme="majorHAnsi" w:hAnsiTheme="majorHAnsi" w:cstheme="majorHAnsi"/>
              </w:rPr>
              <w:t>;108:603</w:t>
            </w:r>
            <w:proofErr w:type="gramEnd"/>
            <w:r w:rsidR="0015472F" w:rsidRPr="003D136F">
              <w:rPr>
                <w:rFonts w:asciiTheme="majorHAnsi" w:hAnsiTheme="majorHAnsi" w:cstheme="majorHAnsi"/>
              </w:rPr>
              <w:t xml:space="preserve">-11 </w:t>
            </w:r>
          </w:p>
        </w:tc>
        <w:tc>
          <w:tcPr>
            <w:tcW w:w="1253" w:type="dxa"/>
          </w:tcPr>
          <w:p w14:paraId="7DDC838E" w14:textId="77777777" w:rsidR="0015472F" w:rsidRPr="00B57841" w:rsidRDefault="0015472F" w:rsidP="0015472F">
            <w:pPr>
              <w:rPr>
                <w:sz w:val="20"/>
                <w:szCs w:val="20"/>
              </w:rPr>
            </w:pPr>
            <w:r w:rsidRPr="00B57841">
              <w:rPr>
                <w:sz w:val="20"/>
                <w:szCs w:val="20"/>
              </w:rPr>
              <w:lastRenderedPageBreak/>
              <w:t>MHAUS</w:t>
            </w:r>
          </w:p>
          <w:p w14:paraId="0FAFCCE2" w14:textId="77777777" w:rsidR="0015472F" w:rsidRPr="00B57841" w:rsidRDefault="0015472F" w:rsidP="0015472F">
            <w:pPr>
              <w:rPr>
                <w:sz w:val="20"/>
                <w:szCs w:val="20"/>
              </w:rPr>
            </w:pPr>
            <w:r w:rsidRPr="00B57841">
              <w:rPr>
                <w:sz w:val="20"/>
                <w:szCs w:val="20"/>
              </w:rPr>
              <w:t>MH Registry</w:t>
            </w:r>
          </w:p>
        </w:tc>
        <w:tc>
          <w:tcPr>
            <w:tcW w:w="3767" w:type="dxa"/>
          </w:tcPr>
          <w:p w14:paraId="6653BBF6" w14:textId="77777777" w:rsidR="0015472F" w:rsidRDefault="0015472F" w:rsidP="0015472F">
            <w:pPr>
              <w:rPr>
                <w:sz w:val="20"/>
                <w:szCs w:val="20"/>
              </w:rPr>
            </w:pPr>
            <w:r>
              <w:rPr>
                <w:sz w:val="20"/>
                <w:szCs w:val="20"/>
              </w:rPr>
              <w:t xml:space="preserve">-Searched for AMRA </w:t>
            </w:r>
          </w:p>
          <w:p w14:paraId="355EBF9C" w14:textId="77777777" w:rsidR="0015472F" w:rsidRDefault="0015472F" w:rsidP="0015472F">
            <w:pPr>
              <w:rPr>
                <w:sz w:val="20"/>
                <w:szCs w:val="20"/>
              </w:rPr>
            </w:pPr>
            <w:r>
              <w:rPr>
                <w:sz w:val="20"/>
                <w:szCs w:val="20"/>
              </w:rPr>
              <w:t>-US and Canada</w:t>
            </w:r>
          </w:p>
          <w:p w14:paraId="0EE98516" w14:textId="77777777" w:rsidR="0015472F" w:rsidRDefault="0015472F" w:rsidP="0015472F">
            <w:pPr>
              <w:rPr>
                <w:sz w:val="20"/>
                <w:szCs w:val="20"/>
              </w:rPr>
            </w:pPr>
            <w:r>
              <w:rPr>
                <w:sz w:val="20"/>
                <w:szCs w:val="20"/>
              </w:rPr>
              <w:t>-Dates Jan. 1, 1987 – Dec. 31, 2006</w:t>
            </w:r>
          </w:p>
          <w:p w14:paraId="2FA3666C" w14:textId="77777777" w:rsidR="0015472F" w:rsidRDefault="0015472F" w:rsidP="0015472F">
            <w:pPr>
              <w:rPr>
                <w:sz w:val="20"/>
                <w:szCs w:val="20"/>
              </w:rPr>
            </w:pPr>
            <w:r>
              <w:rPr>
                <w:sz w:val="20"/>
                <w:szCs w:val="20"/>
              </w:rPr>
              <w:t xml:space="preserve">-597 total reports </w:t>
            </w:r>
          </w:p>
          <w:p w14:paraId="2A9D1760" w14:textId="77777777" w:rsidR="0015472F" w:rsidRDefault="0015472F" w:rsidP="0015472F">
            <w:pPr>
              <w:rPr>
                <w:sz w:val="20"/>
                <w:szCs w:val="20"/>
              </w:rPr>
            </w:pPr>
            <w:r>
              <w:rPr>
                <w:sz w:val="20"/>
                <w:szCs w:val="20"/>
              </w:rPr>
              <w:t>-291 events identified as MH CGS “very likely” or “almost certain”</w:t>
            </w:r>
          </w:p>
          <w:p w14:paraId="6796850E" w14:textId="77777777" w:rsidR="0015472F" w:rsidRDefault="0015472F" w:rsidP="0015472F">
            <w:pPr>
              <w:rPr>
                <w:sz w:val="20"/>
                <w:szCs w:val="20"/>
              </w:rPr>
            </w:pPr>
            <w:r>
              <w:rPr>
                <w:sz w:val="20"/>
                <w:szCs w:val="20"/>
              </w:rPr>
              <w:t>-Out of 291 events: 8 cardiac arrests, 4 deaths</w:t>
            </w:r>
          </w:p>
          <w:p w14:paraId="147B595C" w14:textId="77777777" w:rsidR="0015472F" w:rsidRPr="00A8597E" w:rsidRDefault="0015472F" w:rsidP="0015472F">
            <w:pPr>
              <w:rPr>
                <w:sz w:val="20"/>
                <w:szCs w:val="20"/>
              </w:rPr>
            </w:pPr>
            <w:r>
              <w:rPr>
                <w:sz w:val="20"/>
                <w:szCs w:val="20"/>
              </w:rPr>
              <w:t xml:space="preserve">-No Canadian deaths or cardiac arrests </w:t>
            </w:r>
          </w:p>
        </w:tc>
        <w:tc>
          <w:tcPr>
            <w:tcW w:w="1738" w:type="dxa"/>
          </w:tcPr>
          <w:p w14:paraId="5B1FC7C8" w14:textId="77777777" w:rsidR="0015472F" w:rsidRPr="00A8597E" w:rsidRDefault="0015472F" w:rsidP="0015472F">
            <w:pPr>
              <w:jc w:val="center"/>
              <w:rPr>
                <w:sz w:val="20"/>
                <w:szCs w:val="20"/>
              </w:rPr>
            </w:pPr>
            <w:r>
              <w:rPr>
                <w:sz w:val="20"/>
                <w:szCs w:val="20"/>
              </w:rPr>
              <w:t>1.4%</w:t>
            </w:r>
          </w:p>
        </w:tc>
        <w:tc>
          <w:tcPr>
            <w:tcW w:w="1147" w:type="dxa"/>
          </w:tcPr>
          <w:p w14:paraId="6D4027AF" w14:textId="77777777" w:rsidR="0015472F" w:rsidRPr="00CE5670" w:rsidRDefault="00530036" w:rsidP="0015472F">
            <w:pPr>
              <w:jc w:val="center"/>
              <w:rPr>
                <w:sz w:val="20"/>
                <w:szCs w:val="20"/>
              </w:rPr>
            </w:pPr>
            <w:r>
              <w:rPr>
                <w:sz w:val="20"/>
                <w:szCs w:val="20"/>
              </w:rPr>
              <w:t>3</w:t>
            </w:r>
          </w:p>
        </w:tc>
        <w:tc>
          <w:tcPr>
            <w:tcW w:w="2093" w:type="dxa"/>
          </w:tcPr>
          <w:p w14:paraId="513F5138" w14:textId="77777777" w:rsidR="0015472F" w:rsidRPr="005D7D90" w:rsidRDefault="0015472F" w:rsidP="0015472F">
            <w:pPr>
              <w:jc w:val="center"/>
              <w:rPr>
                <w:sz w:val="20"/>
                <w:szCs w:val="20"/>
                <w:u w:val="single"/>
              </w:rPr>
            </w:pPr>
            <w:r w:rsidRPr="005D7D90">
              <w:rPr>
                <w:sz w:val="20"/>
                <w:szCs w:val="20"/>
                <w:u w:val="single"/>
              </w:rPr>
              <w:t>Selective reporting</w:t>
            </w:r>
          </w:p>
          <w:p w14:paraId="051BB9DF" w14:textId="77777777" w:rsidR="0015472F" w:rsidRDefault="0015472F" w:rsidP="0015472F">
            <w:pPr>
              <w:rPr>
                <w:sz w:val="20"/>
                <w:szCs w:val="20"/>
              </w:rPr>
            </w:pPr>
            <w:r>
              <w:rPr>
                <w:sz w:val="20"/>
                <w:szCs w:val="20"/>
              </w:rPr>
              <w:t xml:space="preserve">Registry data dependent on voluntary reporting, therefore not all events captured.  Also, those reporting may have incomplete/ misdiagnosed patient event.  Also, no confirmatory testing for MH is conducted for every registered event.  </w:t>
            </w:r>
          </w:p>
        </w:tc>
      </w:tr>
      <w:tr w:rsidR="0015472F" w:rsidRPr="00A8597E" w14:paraId="1B43712B" w14:textId="77777777" w:rsidTr="00D63A6B">
        <w:trPr>
          <w:trHeight w:val="2132"/>
        </w:trPr>
        <w:tc>
          <w:tcPr>
            <w:tcW w:w="3165" w:type="dxa"/>
          </w:tcPr>
          <w:p w14:paraId="3825B5B0" w14:textId="60C620FC" w:rsidR="00567F04" w:rsidRPr="008808D4" w:rsidRDefault="00583CA7" w:rsidP="00567F04">
            <w:pPr>
              <w:rPr>
                <w:rFonts w:cstheme="minorHAnsi"/>
              </w:rPr>
            </w:pPr>
            <w:r>
              <w:rPr>
                <w:rFonts w:cstheme="minorHAnsi"/>
                <w:b/>
              </w:rPr>
              <w:lastRenderedPageBreak/>
              <w:t xml:space="preserve">6.  </w:t>
            </w:r>
            <w:r w:rsidR="00567F04" w:rsidRPr="008808D4">
              <w:rPr>
                <w:rFonts w:cstheme="minorHAnsi"/>
              </w:rPr>
              <w:t xml:space="preserve"> Rosero EB, </w:t>
            </w:r>
            <w:proofErr w:type="spellStart"/>
            <w:r w:rsidR="00567F04" w:rsidRPr="008808D4">
              <w:rPr>
                <w:rFonts w:cstheme="minorHAnsi"/>
              </w:rPr>
              <w:t>Ad</w:t>
            </w:r>
            <w:r w:rsidR="00567F04">
              <w:rPr>
                <w:rFonts w:cstheme="minorHAnsi"/>
              </w:rPr>
              <w:t>esanya</w:t>
            </w:r>
            <w:proofErr w:type="spellEnd"/>
            <w:r w:rsidR="00567F04">
              <w:rPr>
                <w:rFonts w:cstheme="minorHAnsi"/>
              </w:rPr>
              <w:t xml:space="preserve"> AO, </w:t>
            </w:r>
            <w:proofErr w:type="spellStart"/>
            <w:r w:rsidR="00567F04">
              <w:rPr>
                <w:rFonts w:cstheme="minorHAnsi"/>
              </w:rPr>
              <w:t>Timaran</w:t>
            </w:r>
            <w:proofErr w:type="spellEnd"/>
            <w:r w:rsidR="00567F04">
              <w:rPr>
                <w:rFonts w:cstheme="minorHAnsi"/>
              </w:rPr>
              <w:t xml:space="preserve"> CH, Joshi GP:</w:t>
            </w:r>
          </w:p>
          <w:p w14:paraId="664FDD64" w14:textId="34AEABBC" w:rsidR="0015472F" w:rsidRPr="008808D4" w:rsidRDefault="0015472F" w:rsidP="00567F04">
            <w:pPr>
              <w:rPr>
                <w:rFonts w:cstheme="minorHAnsi"/>
                <w:highlight w:val="yellow"/>
              </w:rPr>
            </w:pPr>
            <w:r w:rsidRPr="00567F04">
              <w:rPr>
                <w:rFonts w:cstheme="minorHAnsi"/>
              </w:rPr>
              <w:t>Trends and outcomes of malignant hyperthermia in the United States, 2000 to 2005.</w:t>
            </w:r>
            <w:r w:rsidR="00567F04">
              <w:rPr>
                <w:rFonts w:cstheme="minorHAnsi"/>
              </w:rPr>
              <w:t xml:space="preserve"> </w:t>
            </w:r>
            <w:r w:rsidRPr="008808D4">
              <w:rPr>
                <w:rFonts w:cstheme="minorHAnsi"/>
              </w:rPr>
              <w:t>Anesthesiology 2009</w:t>
            </w:r>
            <w:r w:rsidR="00192107">
              <w:rPr>
                <w:rFonts w:cstheme="minorHAnsi"/>
              </w:rPr>
              <w:t>;</w:t>
            </w:r>
            <w:r w:rsidRPr="008808D4">
              <w:rPr>
                <w:rFonts w:cstheme="minorHAnsi"/>
              </w:rPr>
              <w:t xml:space="preserve"> 110:89-94</w:t>
            </w:r>
            <w:r w:rsidRPr="008808D4">
              <w:rPr>
                <w:rFonts w:cstheme="minorHAnsi"/>
                <w:highlight w:val="yellow"/>
              </w:rPr>
              <w:t xml:space="preserve"> </w:t>
            </w:r>
          </w:p>
        </w:tc>
        <w:tc>
          <w:tcPr>
            <w:tcW w:w="1253" w:type="dxa"/>
          </w:tcPr>
          <w:p w14:paraId="20ED2D2E" w14:textId="77777777" w:rsidR="0015472F" w:rsidRPr="00B57841" w:rsidRDefault="0015472F" w:rsidP="0015472F">
            <w:pPr>
              <w:rPr>
                <w:sz w:val="20"/>
                <w:szCs w:val="20"/>
              </w:rPr>
            </w:pPr>
            <w:r w:rsidRPr="00B57841">
              <w:rPr>
                <w:sz w:val="20"/>
                <w:szCs w:val="20"/>
              </w:rPr>
              <w:t>Nationwide Inpatient Sample</w:t>
            </w:r>
          </w:p>
        </w:tc>
        <w:tc>
          <w:tcPr>
            <w:tcW w:w="3767" w:type="dxa"/>
          </w:tcPr>
          <w:p w14:paraId="45EB0E1C" w14:textId="77777777" w:rsidR="0015472F" w:rsidRPr="00B57841" w:rsidRDefault="0015472F" w:rsidP="0015472F">
            <w:pPr>
              <w:rPr>
                <w:sz w:val="20"/>
                <w:szCs w:val="20"/>
              </w:rPr>
            </w:pPr>
            <w:r w:rsidRPr="00B57841">
              <w:rPr>
                <w:sz w:val="20"/>
                <w:szCs w:val="20"/>
              </w:rPr>
              <w:t xml:space="preserve">-Searched </w:t>
            </w:r>
            <w:r w:rsidRPr="004A509C">
              <w:rPr>
                <w:b/>
                <w:sz w:val="20"/>
                <w:szCs w:val="20"/>
              </w:rPr>
              <w:t>ICD-9</w:t>
            </w:r>
            <w:r w:rsidRPr="00B57841">
              <w:rPr>
                <w:sz w:val="20"/>
                <w:szCs w:val="20"/>
              </w:rPr>
              <w:t xml:space="preserve"> code for MH</w:t>
            </w:r>
          </w:p>
          <w:p w14:paraId="65891E30" w14:textId="77777777" w:rsidR="0015472F" w:rsidRPr="00B57841" w:rsidRDefault="0015472F" w:rsidP="0015472F">
            <w:pPr>
              <w:rPr>
                <w:sz w:val="20"/>
                <w:szCs w:val="20"/>
              </w:rPr>
            </w:pPr>
            <w:r>
              <w:rPr>
                <w:sz w:val="20"/>
                <w:szCs w:val="20"/>
              </w:rPr>
              <w:t>-</w:t>
            </w:r>
            <w:r w:rsidRPr="00B57841">
              <w:rPr>
                <w:sz w:val="20"/>
                <w:szCs w:val="20"/>
              </w:rPr>
              <w:t>Dates 2000 – 2005</w:t>
            </w:r>
          </w:p>
          <w:p w14:paraId="5858055B" w14:textId="77777777" w:rsidR="0015472F" w:rsidRDefault="0015472F" w:rsidP="0015472F">
            <w:pPr>
              <w:rPr>
                <w:sz w:val="20"/>
                <w:szCs w:val="20"/>
              </w:rPr>
            </w:pPr>
            <w:r w:rsidRPr="00B57841">
              <w:rPr>
                <w:sz w:val="20"/>
                <w:szCs w:val="20"/>
              </w:rPr>
              <w:t>-</w:t>
            </w:r>
            <w:r>
              <w:rPr>
                <w:sz w:val="20"/>
                <w:szCs w:val="20"/>
              </w:rPr>
              <w:t>3,082 cases total cases</w:t>
            </w:r>
          </w:p>
          <w:p w14:paraId="43D25FCE" w14:textId="77777777" w:rsidR="0015472F" w:rsidRDefault="0015472F" w:rsidP="0015472F">
            <w:pPr>
              <w:rPr>
                <w:sz w:val="20"/>
                <w:szCs w:val="20"/>
              </w:rPr>
            </w:pPr>
            <w:r>
              <w:rPr>
                <w:sz w:val="20"/>
                <w:szCs w:val="20"/>
              </w:rPr>
              <w:t>-2553 MH cases identified without concomitant diagnosis of other conditions associated with hyperthermia</w:t>
            </w:r>
          </w:p>
          <w:p w14:paraId="78B24351" w14:textId="77777777" w:rsidR="0015472F" w:rsidRDefault="0015472F" w:rsidP="0015472F">
            <w:pPr>
              <w:rPr>
                <w:sz w:val="20"/>
                <w:szCs w:val="20"/>
              </w:rPr>
            </w:pPr>
            <w:r>
              <w:rPr>
                <w:sz w:val="20"/>
                <w:szCs w:val="20"/>
              </w:rPr>
              <w:t xml:space="preserve">-3 pediatric deaths (&lt;18 </w:t>
            </w:r>
            <w:proofErr w:type="spellStart"/>
            <w:r>
              <w:rPr>
                <w:sz w:val="20"/>
                <w:szCs w:val="20"/>
              </w:rPr>
              <w:t>yo</w:t>
            </w:r>
            <w:proofErr w:type="spellEnd"/>
            <w:r>
              <w:rPr>
                <w:sz w:val="20"/>
                <w:szCs w:val="20"/>
              </w:rPr>
              <w:t>)</w:t>
            </w:r>
          </w:p>
          <w:p w14:paraId="69CD6053" w14:textId="77777777" w:rsidR="0015472F" w:rsidRPr="0001511C" w:rsidRDefault="0015472F" w:rsidP="0015472F">
            <w:pPr>
              <w:rPr>
                <w:sz w:val="20"/>
                <w:szCs w:val="20"/>
              </w:rPr>
            </w:pPr>
            <w:r>
              <w:rPr>
                <w:sz w:val="20"/>
                <w:szCs w:val="20"/>
              </w:rPr>
              <w:t>-294 adult deaths (</w:t>
            </w:r>
            <w:r>
              <w:rPr>
                <w:sz w:val="20"/>
                <w:szCs w:val="20"/>
                <w:u w:val="single"/>
              </w:rPr>
              <w:t>&gt;</w:t>
            </w:r>
            <w:r>
              <w:rPr>
                <w:sz w:val="20"/>
                <w:szCs w:val="20"/>
              </w:rPr>
              <w:t xml:space="preserve">18 </w:t>
            </w:r>
            <w:proofErr w:type="spellStart"/>
            <w:r>
              <w:rPr>
                <w:sz w:val="20"/>
                <w:szCs w:val="20"/>
              </w:rPr>
              <w:t>yo</w:t>
            </w:r>
            <w:proofErr w:type="spellEnd"/>
            <w:r>
              <w:rPr>
                <w:sz w:val="20"/>
                <w:szCs w:val="20"/>
              </w:rPr>
              <w:t>)</w:t>
            </w:r>
          </w:p>
          <w:p w14:paraId="06F5518F" w14:textId="77777777" w:rsidR="0015472F" w:rsidRPr="00E12EDD" w:rsidRDefault="0015472F" w:rsidP="0015472F">
            <w:pPr>
              <w:rPr>
                <w:sz w:val="20"/>
                <w:szCs w:val="20"/>
                <w:highlight w:val="yellow"/>
              </w:rPr>
            </w:pPr>
            <w:r>
              <w:rPr>
                <w:sz w:val="20"/>
                <w:szCs w:val="20"/>
              </w:rPr>
              <w:t>-297 deaths overall</w:t>
            </w:r>
          </w:p>
        </w:tc>
        <w:tc>
          <w:tcPr>
            <w:tcW w:w="1738" w:type="dxa"/>
          </w:tcPr>
          <w:p w14:paraId="0C4682AA" w14:textId="77777777" w:rsidR="0015472F" w:rsidRDefault="0015472F" w:rsidP="0015472F">
            <w:pPr>
              <w:jc w:val="center"/>
              <w:rPr>
                <w:sz w:val="20"/>
                <w:szCs w:val="20"/>
              </w:rPr>
            </w:pPr>
            <w:r>
              <w:rPr>
                <w:sz w:val="20"/>
                <w:szCs w:val="20"/>
              </w:rPr>
              <w:t>Pediatrics</w:t>
            </w:r>
          </w:p>
          <w:p w14:paraId="080F7194" w14:textId="77777777" w:rsidR="0015472F" w:rsidRDefault="0015472F" w:rsidP="0015472F">
            <w:pPr>
              <w:jc w:val="center"/>
              <w:rPr>
                <w:sz w:val="20"/>
                <w:szCs w:val="20"/>
              </w:rPr>
            </w:pPr>
            <w:r>
              <w:rPr>
                <w:sz w:val="20"/>
                <w:szCs w:val="20"/>
              </w:rPr>
              <w:t>0.7%</w:t>
            </w:r>
          </w:p>
          <w:p w14:paraId="5384E89F" w14:textId="77777777" w:rsidR="0015472F" w:rsidRDefault="0015472F" w:rsidP="0015472F">
            <w:pPr>
              <w:jc w:val="center"/>
              <w:rPr>
                <w:sz w:val="20"/>
                <w:szCs w:val="20"/>
              </w:rPr>
            </w:pPr>
            <w:r>
              <w:rPr>
                <w:sz w:val="20"/>
                <w:szCs w:val="20"/>
              </w:rPr>
              <w:t>_____________</w:t>
            </w:r>
          </w:p>
          <w:p w14:paraId="2CDCFBE5" w14:textId="77777777" w:rsidR="0015472F" w:rsidRDefault="0015472F" w:rsidP="0015472F">
            <w:pPr>
              <w:jc w:val="center"/>
              <w:rPr>
                <w:sz w:val="20"/>
                <w:szCs w:val="20"/>
              </w:rPr>
            </w:pPr>
            <w:r>
              <w:rPr>
                <w:sz w:val="20"/>
                <w:szCs w:val="20"/>
              </w:rPr>
              <w:t>Adults</w:t>
            </w:r>
          </w:p>
          <w:p w14:paraId="34B85BC1" w14:textId="77777777" w:rsidR="0015472F" w:rsidRDefault="0015472F" w:rsidP="0015472F">
            <w:pPr>
              <w:jc w:val="center"/>
              <w:rPr>
                <w:sz w:val="20"/>
                <w:szCs w:val="20"/>
              </w:rPr>
            </w:pPr>
            <w:r>
              <w:rPr>
                <w:sz w:val="20"/>
                <w:szCs w:val="20"/>
              </w:rPr>
              <w:t>14.1%</w:t>
            </w:r>
          </w:p>
          <w:p w14:paraId="1FA4D39B" w14:textId="77777777" w:rsidR="0015472F" w:rsidRDefault="0015472F" w:rsidP="0015472F">
            <w:pPr>
              <w:jc w:val="center"/>
              <w:rPr>
                <w:sz w:val="20"/>
                <w:szCs w:val="20"/>
              </w:rPr>
            </w:pPr>
            <w:r>
              <w:rPr>
                <w:sz w:val="20"/>
                <w:szCs w:val="20"/>
              </w:rPr>
              <w:t>_____________</w:t>
            </w:r>
          </w:p>
          <w:p w14:paraId="1156A8A5" w14:textId="77777777" w:rsidR="0015472F" w:rsidRDefault="0015472F" w:rsidP="0015472F">
            <w:pPr>
              <w:jc w:val="center"/>
              <w:rPr>
                <w:sz w:val="20"/>
                <w:szCs w:val="20"/>
              </w:rPr>
            </w:pPr>
            <w:r>
              <w:rPr>
                <w:sz w:val="20"/>
                <w:szCs w:val="20"/>
              </w:rPr>
              <w:t>Combined</w:t>
            </w:r>
          </w:p>
          <w:p w14:paraId="4490726C" w14:textId="77777777" w:rsidR="0015472F" w:rsidRPr="00257C96" w:rsidRDefault="0015472F" w:rsidP="0015472F">
            <w:pPr>
              <w:jc w:val="center"/>
              <w:rPr>
                <w:sz w:val="20"/>
                <w:szCs w:val="20"/>
              </w:rPr>
            </w:pPr>
            <w:r>
              <w:rPr>
                <w:sz w:val="20"/>
                <w:szCs w:val="20"/>
              </w:rPr>
              <w:t>11.7%</w:t>
            </w:r>
          </w:p>
        </w:tc>
        <w:tc>
          <w:tcPr>
            <w:tcW w:w="1147" w:type="dxa"/>
          </w:tcPr>
          <w:p w14:paraId="748260B7" w14:textId="77777777" w:rsidR="0015472F" w:rsidRPr="00257C96" w:rsidRDefault="00530036" w:rsidP="0015472F">
            <w:pPr>
              <w:jc w:val="center"/>
              <w:rPr>
                <w:sz w:val="20"/>
                <w:szCs w:val="20"/>
              </w:rPr>
            </w:pPr>
            <w:r>
              <w:rPr>
                <w:sz w:val="20"/>
                <w:szCs w:val="20"/>
              </w:rPr>
              <w:t>3</w:t>
            </w:r>
          </w:p>
        </w:tc>
        <w:tc>
          <w:tcPr>
            <w:tcW w:w="2093" w:type="dxa"/>
          </w:tcPr>
          <w:p w14:paraId="48C53142" w14:textId="77777777" w:rsidR="0015472F" w:rsidRPr="005D7D90" w:rsidRDefault="0015472F" w:rsidP="0015472F">
            <w:pPr>
              <w:jc w:val="center"/>
              <w:rPr>
                <w:sz w:val="20"/>
                <w:szCs w:val="20"/>
                <w:u w:val="single"/>
              </w:rPr>
            </w:pPr>
            <w:r w:rsidRPr="005D7D90">
              <w:rPr>
                <w:sz w:val="20"/>
                <w:szCs w:val="20"/>
                <w:u w:val="single"/>
              </w:rPr>
              <w:t>Selective reporting</w:t>
            </w:r>
          </w:p>
          <w:p w14:paraId="4FFF96A7" w14:textId="77777777" w:rsidR="0015472F" w:rsidRPr="00A8597E" w:rsidRDefault="0015472F" w:rsidP="0015472F">
            <w:pPr>
              <w:rPr>
                <w:sz w:val="20"/>
                <w:szCs w:val="20"/>
              </w:rPr>
            </w:pPr>
            <w:r>
              <w:rPr>
                <w:sz w:val="20"/>
                <w:szCs w:val="20"/>
              </w:rPr>
              <w:t xml:space="preserve">HCUP data is national sampling, not complete for US.  Represents only inpatient discharges, therefore does not capture deaths prior to admission. Assumes correct ICD-9 coding/diagnosis by MD.  Also, no confirmatory testing for MH is conducted for every data patient.    </w:t>
            </w:r>
          </w:p>
        </w:tc>
      </w:tr>
      <w:tr w:rsidR="0015472F" w:rsidRPr="00A8597E" w14:paraId="3CF932A2" w14:textId="77777777" w:rsidTr="00D63A6B">
        <w:trPr>
          <w:trHeight w:val="2132"/>
        </w:trPr>
        <w:tc>
          <w:tcPr>
            <w:tcW w:w="3165" w:type="dxa"/>
          </w:tcPr>
          <w:p w14:paraId="6FAB01C7" w14:textId="4D38A85A" w:rsidR="00567F04" w:rsidRPr="008834DA" w:rsidRDefault="00583CA7" w:rsidP="00567F04">
            <w:pPr>
              <w:rPr>
                <w:rFonts w:cstheme="minorHAnsi"/>
              </w:rPr>
            </w:pPr>
            <w:r>
              <w:rPr>
                <w:rFonts w:cstheme="minorHAnsi"/>
                <w:b/>
              </w:rPr>
              <w:lastRenderedPageBreak/>
              <w:t xml:space="preserve">7.  </w:t>
            </w:r>
            <w:r w:rsidR="00567F04">
              <w:rPr>
                <w:rFonts w:cstheme="minorHAnsi"/>
              </w:rPr>
              <w:t xml:space="preserve"> Lu Z, Rosenberg H, Li </w:t>
            </w:r>
            <w:r w:rsidR="00567F04" w:rsidRPr="008834DA">
              <w:rPr>
                <w:rFonts w:cstheme="minorHAnsi"/>
              </w:rPr>
              <w:t>G</w:t>
            </w:r>
            <w:r w:rsidR="00567F04">
              <w:rPr>
                <w:rFonts w:cstheme="minorHAnsi"/>
              </w:rPr>
              <w:t>:</w:t>
            </w:r>
          </w:p>
          <w:p w14:paraId="055932B3" w14:textId="77777777" w:rsidR="0015472F" w:rsidRPr="00567F04" w:rsidRDefault="0015472F" w:rsidP="0015472F">
            <w:pPr>
              <w:rPr>
                <w:rFonts w:cstheme="minorHAnsi"/>
              </w:rPr>
            </w:pPr>
            <w:r w:rsidRPr="00567F04">
              <w:rPr>
                <w:rFonts w:cstheme="minorHAnsi"/>
              </w:rPr>
              <w:t>Prevalence of malignant hyperthermia diagnosis in hospital discharge</w:t>
            </w:r>
          </w:p>
          <w:p w14:paraId="49FAB9B8" w14:textId="77777777" w:rsidR="0015472F" w:rsidRPr="00567F04" w:rsidRDefault="0015472F" w:rsidP="0015472F">
            <w:pPr>
              <w:rPr>
                <w:rFonts w:cstheme="minorHAnsi"/>
              </w:rPr>
            </w:pPr>
            <w:proofErr w:type="gramStart"/>
            <w:r w:rsidRPr="00567F04">
              <w:rPr>
                <w:rFonts w:cstheme="minorHAnsi"/>
              </w:rPr>
              <w:t>records</w:t>
            </w:r>
            <w:proofErr w:type="gramEnd"/>
            <w:r w:rsidRPr="00567F04">
              <w:rPr>
                <w:rFonts w:cstheme="minorHAnsi"/>
              </w:rPr>
              <w:t xml:space="preserve"> in California, Florida, New York, and Wisconsin</w:t>
            </w:r>
          </w:p>
          <w:p w14:paraId="310C3FB6" w14:textId="6C40C3BB" w:rsidR="0015472F" w:rsidRPr="008834DA" w:rsidRDefault="00192107" w:rsidP="00567F04">
            <w:pPr>
              <w:rPr>
                <w:rFonts w:cstheme="minorHAnsi"/>
              </w:rPr>
            </w:pPr>
            <w:r>
              <w:rPr>
                <w:rFonts w:cstheme="minorHAnsi"/>
              </w:rPr>
              <w:t>J</w:t>
            </w:r>
            <w:r w:rsidR="0015472F" w:rsidRPr="008834DA">
              <w:rPr>
                <w:rFonts w:cstheme="minorHAnsi"/>
              </w:rPr>
              <w:t xml:space="preserve"> </w:t>
            </w:r>
            <w:proofErr w:type="spellStart"/>
            <w:r w:rsidR="0015472F" w:rsidRPr="008834DA">
              <w:rPr>
                <w:rFonts w:cstheme="minorHAnsi"/>
              </w:rPr>
              <w:t>Clin</w:t>
            </w:r>
            <w:proofErr w:type="spellEnd"/>
            <w:r>
              <w:rPr>
                <w:rFonts w:cstheme="minorHAnsi"/>
              </w:rPr>
              <w:t xml:space="preserve"> </w:t>
            </w:r>
            <w:proofErr w:type="spellStart"/>
            <w:r>
              <w:rPr>
                <w:rFonts w:cstheme="minorHAnsi"/>
              </w:rPr>
              <w:t>Anesth</w:t>
            </w:r>
            <w:proofErr w:type="spellEnd"/>
            <w:r w:rsidR="0015472F" w:rsidRPr="008834DA">
              <w:rPr>
                <w:rFonts w:cstheme="minorHAnsi"/>
              </w:rPr>
              <w:t xml:space="preserve"> </w:t>
            </w:r>
            <w:r>
              <w:rPr>
                <w:rFonts w:cstheme="minorHAnsi"/>
              </w:rPr>
              <w:t>2017; 39:</w:t>
            </w:r>
            <w:r w:rsidR="0015472F" w:rsidRPr="008834DA">
              <w:rPr>
                <w:rFonts w:cstheme="minorHAnsi"/>
              </w:rPr>
              <w:t>10-14</w:t>
            </w:r>
          </w:p>
        </w:tc>
        <w:tc>
          <w:tcPr>
            <w:tcW w:w="1253" w:type="dxa"/>
          </w:tcPr>
          <w:p w14:paraId="3DF4FF0F" w14:textId="02622B06" w:rsidR="0015472F" w:rsidRPr="008834DA" w:rsidRDefault="00F467B2" w:rsidP="0015472F">
            <w:pPr>
              <w:rPr>
                <w:sz w:val="20"/>
                <w:szCs w:val="20"/>
              </w:rPr>
            </w:pPr>
            <w:r>
              <w:rPr>
                <w:sz w:val="20"/>
                <w:szCs w:val="20"/>
              </w:rPr>
              <w:t>HCUP</w:t>
            </w:r>
            <w:r w:rsidR="002C7839" w:rsidRPr="002C7839">
              <w:rPr>
                <w:sz w:val="20"/>
                <w:szCs w:val="20"/>
                <w:vertAlign w:val="superscript"/>
              </w:rPr>
              <w:t>§</w:t>
            </w:r>
            <w:r w:rsidR="0015472F" w:rsidRPr="002C7839">
              <w:rPr>
                <w:sz w:val="20"/>
                <w:szCs w:val="20"/>
                <w:vertAlign w:val="superscript"/>
              </w:rPr>
              <w:t xml:space="preserve"> </w:t>
            </w:r>
            <w:r w:rsidR="00A766E6" w:rsidRPr="00A766E6">
              <w:rPr>
                <w:sz w:val="20"/>
                <w:szCs w:val="20"/>
              </w:rPr>
              <w:t>SID</w:t>
            </w:r>
            <w:r w:rsidR="002C7839" w:rsidRPr="002C7839">
              <w:rPr>
                <w:sz w:val="20"/>
                <w:szCs w:val="20"/>
                <w:vertAlign w:val="superscript"/>
              </w:rPr>
              <w:t>§§</w:t>
            </w:r>
            <w:r w:rsidR="00A766E6">
              <w:rPr>
                <w:sz w:val="20"/>
                <w:szCs w:val="20"/>
              </w:rPr>
              <w:t xml:space="preserve"> </w:t>
            </w:r>
            <w:r w:rsidR="0015472F" w:rsidRPr="008834DA">
              <w:rPr>
                <w:sz w:val="20"/>
                <w:szCs w:val="20"/>
              </w:rPr>
              <w:t>for California (2011), Florida</w:t>
            </w:r>
          </w:p>
          <w:p w14:paraId="7AE9C966" w14:textId="77777777" w:rsidR="0015472F" w:rsidRPr="00B57841" w:rsidRDefault="0015472F" w:rsidP="0015472F">
            <w:pPr>
              <w:rPr>
                <w:sz w:val="20"/>
                <w:szCs w:val="20"/>
              </w:rPr>
            </w:pPr>
            <w:r w:rsidRPr="008834DA">
              <w:rPr>
                <w:sz w:val="20"/>
                <w:szCs w:val="20"/>
              </w:rPr>
              <w:t>(2011), New York (2012) and Wisconsin (2012).</w:t>
            </w:r>
          </w:p>
        </w:tc>
        <w:tc>
          <w:tcPr>
            <w:tcW w:w="3767" w:type="dxa"/>
          </w:tcPr>
          <w:p w14:paraId="75E03DEB" w14:textId="77777777" w:rsidR="0015472F" w:rsidRDefault="0015472F" w:rsidP="0015472F">
            <w:pPr>
              <w:rPr>
                <w:sz w:val="20"/>
                <w:szCs w:val="20"/>
              </w:rPr>
            </w:pPr>
            <w:r>
              <w:rPr>
                <w:sz w:val="20"/>
                <w:szCs w:val="20"/>
              </w:rPr>
              <w:t>-</w:t>
            </w:r>
            <w:r>
              <w:t xml:space="preserve"> </w:t>
            </w:r>
            <w:r w:rsidRPr="008834DA">
              <w:rPr>
                <w:sz w:val="20"/>
                <w:szCs w:val="20"/>
              </w:rPr>
              <w:t xml:space="preserve">Searched </w:t>
            </w:r>
            <w:r w:rsidRPr="004A509C">
              <w:rPr>
                <w:b/>
                <w:sz w:val="20"/>
                <w:szCs w:val="20"/>
              </w:rPr>
              <w:t>ICD-9</w:t>
            </w:r>
            <w:r w:rsidRPr="008834DA">
              <w:rPr>
                <w:sz w:val="20"/>
                <w:szCs w:val="20"/>
              </w:rPr>
              <w:t xml:space="preserve"> code for MH</w:t>
            </w:r>
          </w:p>
          <w:p w14:paraId="42036C7A" w14:textId="4AD415EC" w:rsidR="0015472F" w:rsidRDefault="0015472F" w:rsidP="0015472F">
            <w:pPr>
              <w:rPr>
                <w:sz w:val="20"/>
                <w:szCs w:val="20"/>
              </w:rPr>
            </w:pPr>
            <w:r>
              <w:rPr>
                <w:sz w:val="20"/>
                <w:szCs w:val="20"/>
              </w:rPr>
              <w:t xml:space="preserve">- </w:t>
            </w:r>
            <w:r w:rsidRPr="008834DA">
              <w:rPr>
                <w:sz w:val="20"/>
                <w:szCs w:val="20"/>
              </w:rPr>
              <w:t>California</w:t>
            </w:r>
            <w:r>
              <w:rPr>
                <w:sz w:val="20"/>
                <w:szCs w:val="20"/>
              </w:rPr>
              <w:t xml:space="preserve"> </w:t>
            </w:r>
            <w:r w:rsidRPr="008834DA">
              <w:rPr>
                <w:sz w:val="20"/>
                <w:szCs w:val="20"/>
              </w:rPr>
              <w:t>during 2011, Florida during 2011, New York during 2012, and Wisconsin</w:t>
            </w:r>
            <w:r w:rsidR="00A766E6">
              <w:rPr>
                <w:sz w:val="20"/>
                <w:szCs w:val="20"/>
              </w:rPr>
              <w:t xml:space="preserve"> </w:t>
            </w:r>
            <w:r w:rsidRPr="008834DA">
              <w:rPr>
                <w:sz w:val="20"/>
                <w:szCs w:val="20"/>
              </w:rPr>
              <w:t>during 2012.</w:t>
            </w:r>
          </w:p>
          <w:p w14:paraId="18655073" w14:textId="77777777" w:rsidR="0015472F" w:rsidRDefault="0015472F" w:rsidP="0015472F">
            <w:pPr>
              <w:rPr>
                <w:sz w:val="20"/>
                <w:szCs w:val="20"/>
              </w:rPr>
            </w:pPr>
            <w:r>
              <w:rPr>
                <w:sz w:val="20"/>
                <w:szCs w:val="20"/>
              </w:rPr>
              <w:t xml:space="preserve">- </w:t>
            </w:r>
            <w:r>
              <w:t xml:space="preserve"> </w:t>
            </w:r>
            <w:proofErr w:type="gramStart"/>
            <w:r w:rsidRPr="00CF30FD">
              <w:rPr>
                <w:sz w:val="20"/>
                <w:szCs w:val="20"/>
              </w:rPr>
              <w:t>total</w:t>
            </w:r>
            <w:proofErr w:type="gramEnd"/>
            <w:r w:rsidRPr="00CF30FD">
              <w:rPr>
                <w:sz w:val="20"/>
                <w:szCs w:val="20"/>
              </w:rPr>
              <w:t xml:space="preserve"> of 164 hospital discharges</w:t>
            </w:r>
          </w:p>
          <w:p w14:paraId="01CC143D" w14:textId="77777777" w:rsidR="0015472F" w:rsidRPr="00B57841" w:rsidRDefault="0015472F" w:rsidP="0015472F">
            <w:pPr>
              <w:rPr>
                <w:sz w:val="20"/>
                <w:szCs w:val="20"/>
              </w:rPr>
            </w:pPr>
            <w:r>
              <w:rPr>
                <w:sz w:val="20"/>
                <w:szCs w:val="20"/>
              </w:rPr>
              <w:t>- 18 deaths</w:t>
            </w:r>
          </w:p>
        </w:tc>
        <w:tc>
          <w:tcPr>
            <w:tcW w:w="1738" w:type="dxa"/>
          </w:tcPr>
          <w:p w14:paraId="0D310E14" w14:textId="77777777" w:rsidR="0015472F" w:rsidRDefault="0015472F" w:rsidP="0015472F">
            <w:pPr>
              <w:jc w:val="center"/>
              <w:rPr>
                <w:sz w:val="20"/>
                <w:szCs w:val="20"/>
              </w:rPr>
            </w:pPr>
            <w:r>
              <w:rPr>
                <w:sz w:val="20"/>
                <w:szCs w:val="20"/>
              </w:rPr>
              <w:t>Combined</w:t>
            </w:r>
          </w:p>
          <w:p w14:paraId="2DF5C54C" w14:textId="77777777" w:rsidR="0015472F" w:rsidRDefault="0015472F" w:rsidP="0015472F">
            <w:pPr>
              <w:jc w:val="center"/>
              <w:rPr>
                <w:sz w:val="20"/>
                <w:szCs w:val="20"/>
              </w:rPr>
            </w:pPr>
            <w:r>
              <w:rPr>
                <w:sz w:val="20"/>
                <w:szCs w:val="20"/>
              </w:rPr>
              <w:t>11.0%</w:t>
            </w:r>
          </w:p>
        </w:tc>
        <w:tc>
          <w:tcPr>
            <w:tcW w:w="1147" w:type="dxa"/>
          </w:tcPr>
          <w:p w14:paraId="489ECFA3" w14:textId="77777777" w:rsidR="0015472F" w:rsidRDefault="00530036" w:rsidP="0015472F">
            <w:pPr>
              <w:jc w:val="center"/>
              <w:rPr>
                <w:sz w:val="20"/>
                <w:szCs w:val="20"/>
              </w:rPr>
            </w:pPr>
            <w:r>
              <w:rPr>
                <w:sz w:val="20"/>
                <w:szCs w:val="20"/>
              </w:rPr>
              <w:t>3</w:t>
            </w:r>
          </w:p>
        </w:tc>
        <w:tc>
          <w:tcPr>
            <w:tcW w:w="2093" w:type="dxa"/>
          </w:tcPr>
          <w:p w14:paraId="0F908569" w14:textId="77777777" w:rsidR="0015472F" w:rsidRPr="005242A7" w:rsidRDefault="0015472F" w:rsidP="0015472F">
            <w:pPr>
              <w:jc w:val="center"/>
              <w:rPr>
                <w:sz w:val="20"/>
                <w:szCs w:val="20"/>
                <w:u w:val="single"/>
              </w:rPr>
            </w:pPr>
            <w:r w:rsidRPr="005242A7">
              <w:rPr>
                <w:sz w:val="20"/>
                <w:szCs w:val="20"/>
                <w:u w:val="single"/>
              </w:rPr>
              <w:t>Selective reporting</w:t>
            </w:r>
          </w:p>
          <w:p w14:paraId="365AB934" w14:textId="77777777" w:rsidR="0015472F" w:rsidRPr="00CF30FD" w:rsidRDefault="0015472F" w:rsidP="0015472F">
            <w:pPr>
              <w:jc w:val="center"/>
              <w:rPr>
                <w:sz w:val="20"/>
                <w:szCs w:val="20"/>
              </w:rPr>
            </w:pPr>
            <w:r w:rsidRPr="00CF30FD">
              <w:rPr>
                <w:sz w:val="20"/>
                <w:szCs w:val="20"/>
              </w:rPr>
              <w:t>Healthcare Cost and Utilization</w:t>
            </w:r>
          </w:p>
          <w:p w14:paraId="517FD23C" w14:textId="77777777" w:rsidR="0015472F" w:rsidRPr="00CF30FD" w:rsidRDefault="0015472F" w:rsidP="0015472F">
            <w:pPr>
              <w:jc w:val="center"/>
              <w:rPr>
                <w:sz w:val="20"/>
                <w:szCs w:val="20"/>
              </w:rPr>
            </w:pPr>
            <w:r w:rsidRPr="00CF30FD">
              <w:rPr>
                <w:sz w:val="20"/>
                <w:szCs w:val="20"/>
              </w:rPr>
              <w:t>Project (HCUP) State Inpatient Database (SID) for California (2011),</w:t>
            </w:r>
          </w:p>
          <w:p w14:paraId="2FB1398A" w14:textId="77777777" w:rsidR="0015472F" w:rsidRPr="00CF30FD" w:rsidRDefault="0015472F" w:rsidP="0015472F">
            <w:pPr>
              <w:jc w:val="center"/>
              <w:rPr>
                <w:sz w:val="20"/>
                <w:szCs w:val="20"/>
              </w:rPr>
            </w:pPr>
            <w:r w:rsidRPr="00CF30FD">
              <w:rPr>
                <w:sz w:val="20"/>
                <w:szCs w:val="20"/>
              </w:rPr>
              <w:t>Florida (2011), New York (2012) and Wisconsin (2012) HCUP data is national sampling, not complete for US.  Represents only inpatient discharges, therefore does not capture deaths prior to admission. Assumes correct ICD-9 coding/diagnosis by MD.  Also, no confirmatory testing for MH is</w:t>
            </w:r>
            <w:r>
              <w:rPr>
                <w:sz w:val="20"/>
                <w:szCs w:val="20"/>
              </w:rPr>
              <w:t xml:space="preserve"> </w:t>
            </w:r>
            <w:r w:rsidRPr="00CF30FD">
              <w:rPr>
                <w:sz w:val="20"/>
                <w:szCs w:val="20"/>
              </w:rPr>
              <w:t xml:space="preserve">conducted for every data patient.    </w:t>
            </w:r>
          </w:p>
        </w:tc>
      </w:tr>
      <w:tr w:rsidR="004E1C05" w:rsidRPr="00A8597E" w14:paraId="4088AB3A" w14:textId="77777777" w:rsidTr="00D63A6B">
        <w:trPr>
          <w:trHeight w:val="2132"/>
        </w:trPr>
        <w:tc>
          <w:tcPr>
            <w:tcW w:w="3165" w:type="dxa"/>
          </w:tcPr>
          <w:p w14:paraId="398E0BAB" w14:textId="09D157CF" w:rsidR="004E1C05" w:rsidRDefault="004E1C05" w:rsidP="0015472F">
            <w:pPr>
              <w:jc w:val="center"/>
              <w:rPr>
                <w:rFonts w:cstheme="minorHAnsi"/>
                <w:b/>
                <w:u w:val="single"/>
              </w:rPr>
            </w:pPr>
            <w:r>
              <w:rPr>
                <w:rFonts w:cstheme="minorHAnsi"/>
                <w:b/>
                <w:u w:val="single"/>
              </w:rPr>
              <w:t>Summary</w:t>
            </w:r>
            <w:r w:rsidR="00274CE0">
              <w:rPr>
                <w:rFonts w:cstheme="minorHAnsi"/>
                <w:b/>
                <w:u w:val="single"/>
              </w:rPr>
              <w:t xml:space="preserve"> of Published References</w:t>
            </w:r>
          </w:p>
          <w:p w14:paraId="19626961" w14:textId="77777777" w:rsidR="00583CA7" w:rsidRDefault="00583CA7" w:rsidP="0015472F">
            <w:pPr>
              <w:jc w:val="center"/>
              <w:rPr>
                <w:rFonts w:cstheme="minorHAnsi"/>
                <w:b/>
                <w:u w:val="single"/>
              </w:rPr>
            </w:pPr>
          </w:p>
          <w:p w14:paraId="6F7161F0" w14:textId="17808031" w:rsidR="00583CA7" w:rsidRPr="00583CA7" w:rsidRDefault="00583CA7" w:rsidP="00274CE0">
            <w:pPr>
              <w:rPr>
                <w:rFonts w:cstheme="minorHAnsi"/>
              </w:rPr>
            </w:pPr>
          </w:p>
        </w:tc>
        <w:tc>
          <w:tcPr>
            <w:tcW w:w="1253" w:type="dxa"/>
          </w:tcPr>
          <w:p w14:paraId="6BC71AC3" w14:textId="649B8F43" w:rsidR="004E1C05" w:rsidRDefault="00E21647" w:rsidP="007A6A1D">
            <w:pPr>
              <w:rPr>
                <w:sz w:val="20"/>
                <w:szCs w:val="20"/>
              </w:rPr>
            </w:pPr>
            <w:r>
              <w:rPr>
                <w:sz w:val="20"/>
                <w:szCs w:val="20"/>
              </w:rPr>
              <w:t xml:space="preserve">Reported to the </w:t>
            </w:r>
            <w:r w:rsidR="00F467B2">
              <w:rPr>
                <w:sz w:val="20"/>
                <w:szCs w:val="20"/>
              </w:rPr>
              <w:t xml:space="preserve">NAMHR </w:t>
            </w:r>
            <w:r w:rsidR="008B474D">
              <w:rPr>
                <w:sz w:val="20"/>
                <w:szCs w:val="20"/>
              </w:rPr>
              <w:t>from</w:t>
            </w:r>
            <w:r w:rsidR="007A6A1D">
              <w:rPr>
                <w:sz w:val="20"/>
                <w:szCs w:val="20"/>
              </w:rPr>
              <w:t xml:space="preserve"> 1990</w:t>
            </w:r>
            <w:r w:rsidR="008B474D">
              <w:rPr>
                <w:sz w:val="20"/>
                <w:szCs w:val="20"/>
              </w:rPr>
              <w:t xml:space="preserve"> to 2017</w:t>
            </w:r>
          </w:p>
        </w:tc>
        <w:tc>
          <w:tcPr>
            <w:tcW w:w="3767" w:type="dxa"/>
          </w:tcPr>
          <w:p w14:paraId="505A9E4E" w14:textId="23E999D0" w:rsidR="004E1C05" w:rsidRPr="00856182" w:rsidRDefault="00A61910" w:rsidP="00567F04">
            <w:pPr>
              <w:rPr>
                <w:sz w:val="20"/>
                <w:szCs w:val="20"/>
              </w:rPr>
            </w:pPr>
            <w:r w:rsidRPr="00567F04">
              <w:rPr>
                <w:sz w:val="20"/>
                <w:szCs w:val="20"/>
              </w:rPr>
              <w:t>Registry reported deaths=1</w:t>
            </w:r>
            <w:r w:rsidR="00567F04">
              <w:rPr>
                <w:sz w:val="20"/>
                <w:szCs w:val="20"/>
              </w:rPr>
              <w:t>5</w:t>
            </w:r>
            <w:r w:rsidR="008B474D" w:rsidRPr="00567F04">
              <w:rPr>
                <w:sz w:val="20"/>
                <w:szCs w:val="20"/>
              </w:rPr>
              <w:t xml:space="preserve"> individuals</w:t>
            </w:r>
          </w:p>
        </w:tc>
        <w:tc>
          <w:tcPr>
            <w:tcW w:w="1738" w:type="dxa"/>
          </w:tcPr>
          <w:p w14:paraId="3F77ECBB" w14:textId="0AAF7D5B" w:rsidR="004E1C05" w:rsidRDefault="004A509C" w:rsidP="00683ACF">
            <w:pPr>
              <w:jc w:val="center"/>
              <w:rPr>
                <w:sz w:val="20"/>
                <w:szCs w:val="20"/>
              </w:rPr>
            </w:pPr>
            <w:r>
              <w:rPr>
                <w:sz w:val="20"/>
                <w:szCs w:val="20"/>
              </w:rPr>
              <w:t>If one excludes references dependent only on IC</w:t>
            </w:r>
            <w:r w:rsidR="008B474D">
              <w:rPr>
                <w:sz w:val="20"/>
                <w:szCs w:val="20"/>
              </w:rPr>
              <w:t>D9 code for MH, then left with</w:t>
            </w:r>
            <w:r>
              <w:rPr>
                <w:sz w:val="20"/>
                <w:szCs w:val="20"/>
              </w:rPr>
              <w:t xml:space="preserve"> 2 Registry </w:t>
            </w:r>
            <w:r w:rsidR="005640CA">
              <w:rPr>
                <w:sz w:val="20"/>
                <w:szCs w:val="20"/>
              </w:rPr>
              <w:t>published studies</w:t>
            </w:r>
            <w:r w:rsidR="00835A9F">
              <w:rPr>
                <w:sz w:val="20"/>
                <w:szCs w:val="20"/>
              </w:rPr>
              <w:t xml:space="preserve"> and preliminary Registry </w:t>
            </w:r>
            <w:r w:rsidR="00F467B2">
              <w:rPr>
                <w:sz w:val="20"/>
                <w:szCs w:val="20"/>
              </w:rPr>
              <w:t>data only</w:t>
            </w:r>
            <w:r w:rsidR="00835A9F">
              <w:rPr>
                <w:sz w:val="20"/>
                <w:szCs w:val="20"/>
              </w:rPr>
              <w:t>.  M</w:t>
            </w:r>
            <w:r>
              <w:rPr>
                <w:sz w:val="20"/>
                <w:szCs w:val="20"/>
              </w:rPr>
              <w:t xml:space="preserve">ortality rates that range </w:t>
            </w:r>
            <w:r>
              <w:rPr>
                <w:sz w:val="20"/>
                <w:szCs w:val="20"/>
              </w:rPr>
              <w:lastRenderedPageBreak/>
              <w:t xml:space="preserve">from 1.4 – 9.5%. </w:t>
            </w:r>
            <w:r w:rsidR="00835A9F">
              <w:rPr>
                <w:sz w:val="20"/>
                <w:szCs w:val="20"/>
              </w:rPr>
              <w:t xml:space="preserve">  </w:t>
            </w:r>
          </w:p>
        </w:tc>
        <w:tc>
          <w:tcPr>
            <w:tcW w:w="1147" w:type="dxa"/>
          </w:tcPr>
          <w:p w14:paraId="76C185F7" w14:textId="6D28567F" w:rsidR="004E1C05" w:rsidRDefault="005640CA" w:rsidP="0015472F">
            <w:pPr>
              <w:jc w:val="center"/>
              <w:rPr>
                <w:sz w:val="20"/>
                <w:szCs w:val="20"/>
              </w:rPr>
            </w:pPr>
            <w:r>
              <w:rPr>
                <w:sz w:val="20"/>
                <w:szCs w:val="20"/>
              </w:rPr>
              <w:lastRenderedPageBreak/>
              <w:t>Predominantly</w:t>
            </w:r>
            <w:r w:rsidR="00530036">
              <w:rPr>
                <w:sz w:val="20"/>
                <w:szCs w:val="20"/>
              </w:rPr>
              <w:t xml:space="preserve"> 3</w:t>
            </w:r>
          </w:p>
        </w:tc>
        <w:tc>
          <w:tcPr>
            <w:tcW w:w="2093" w:type="dxa"/>
          </w:tcPr>
          <w:p w14:paraId="793D523B" w14:textId="77777777" w:rsidR="004E1C05" w:rsidRPr="004E1C05" w:rsidRDefault="004E1C05" w:rsidP="0015472F">
            <w:pPr>
              <w:jc w:val="center"/>
              <w:rPr>
                <w:sz w:val="20"/>
                <w:szCs w:val="20"/>
              </w:rPr>
            </w:pPr>
            <w:r>
              <w:rPr>
                <w:sz w:val="20"/>
                <w:szCs w:val="20"/>
              </w:rPr>
              <w:t>Predominantly US estimates</w:t>
            </w:r>
            <w:r w:rsidR="00835A9F">
              <w:rPr>
                <w:sz w:val="20"/>
                <w:szCs w:val="20"/>
              </w:rPr>
              <w:t>- selective reporting-</w:t>
            </w:r>
            <w:r w:rsidR="008B474D">
              <w:rPr>
                <w:sz w:val="20"/>
                <w:szCs w:val="20"/>
              </w:rPr>
              <w:t>possible incomplete or misdiagnosed anesthetic event-</w:t>
            </w:r>
          </w:p>
        </w:tc>
      </w:tr>
      <w:tr w:rsidR="007A6A1D" w:rsidRPr="00A8597E" w14:paraId="5D0E30BA" w14:textId="77777777" w:rsidTr="00D63A6B">
        <w:trPr>
          <w:trHeight w:val="2132"/>
        </w:trPr>
        <w:tc>
          <w:tcPr>
            <w:tcW w:w="3165" w:type="dxa"/>
          </w:tcPr>
          <w:p w14:paraId="6A6E934E" w14:textId="77777777" w:rsidR="007A6A1D" w:rsidRDefault="007A6A1D" w:rsidP="0015472F">
            <w:pPr>
              <w:jc w:val="center"/>
              <w:rPr>
                <w:rFonts w:cstheme="minorHAnsi"/>
                <w:b/>
                <w:u w:val="single"/>
              </w:rPr>
            </w:pPr>
          </w:p>
          <w:p w14:paraId="4044FCCF" w14:textId="37C2994A" w:rsidR="00DD7817" w:rsidRPr="00DD7817" w:rsidRDefault="00DD7817" w:rsidP="00274CE0">
            <w:pPr>
              <w:rPr>
                <w:rFonts w:cstheme="minorHAnsi"/>
              </w:rPr>
            </w:pPr>
          </w:p>
        </w:tc>
        <w:tc>
          <w:tcPr>
            <w:tcW w:w="1253" w:type="dxa"/>
          </w:tcPr>
          <w:p w14:paraId="56E04F9F" w14:textId="32BD63D6" w:rsidR="00DD7817" w:rsidRDefault="00DD7817" w:rsidP="00DD7817">
            <w:pPr>
              <w:rPr>
                <w:sz w:val="20"/>
                <w:szCs w:val="20"/>
              </w:rPr>
            </w:pPr>
            <w:r w:rsidRPr="00DD7817">
              <w:rPr>
                <w:sz w:val="20"/>
                <w:szCs w:val="20"/>
              </w:rPr>
              <w:t>Nationwide Inpatient Sample</w:t>
            </w:r>
            <w:r>
              <w:rPr>
                <w:sz w:val="20"/>
                <w:szCs w:val="20"/>
              </w:rPr>
              <w:t>,</w:t>
            </w:r>
            <w:r w:rsidRPr="00DD7817">
              <w:rPr>
                <w:sz w:val="20"/>
                <w:szCs w:val="20"/>
              </w:rPr>
              <w:t xml:space="preserve"> Kid’s Inpatient Database</w:t>
            </w:r>
            <w:r>
              <w:rPr>
                <w:sz w:val="20"/>
                <w:szCs w:val="20"/>
              </w:rPr>
              <w:t xml:space="preserve"> (</w:t>
            </w:r>
            <w:r w:rsidRPr="00DD7817">
              <w:rPr>
                <w:sz w:val="20"/>
                <w:szCs w:val="20"/>
              </w:rPr>
              <w:t>1998 – 2010</w:t>
            </w:r>
            <w:r>
              <w:rPr>
                <w:sz w:val="20"/>
                <w:szCs w:val="20"/>
              </w:rPr>
              <w:t>);</w:t>
            </w:r>
          </w:p>
          <w:p w14:paraId="26ABD552" w14:textId="5B49F357" w:rsidR="00DD7817" w:rsidRDefault="00DD7817" w:rsidP="00DD7817">
            <w:pPr>
              <w:rPr>
                <w:sz w:val="20"/>
                <w:szCs w:val="20"/>
              </w:rPr>
            </w:pPr>
            <w:r w:rsidRPr="00DD7817">
              <w:rPr>
                <w:sz w:val="20"/>
                <w:szCs w:val="20"/>
              </w:rPr>
              <w:t>Kids’ Inpatient Database</w:t>
            </w:r>
            <w:r>
              <w:rPr>
                <w:sz w:val="20"/>
                <w:szCs w:val="20"/>
              </w:rPr>
              <w:t xml:space="preserve"> (</w:t>
            </w:r>
            <w:r w:rsidRPr="00DD7817">
              <w:rPr>
                <w:sz w:val="20"/>
                <w:szCs w:val="20"/>
              </w:rPr>
              <w:t>2000,2003,2006</w:t>
            </w:r>
            <w:r>
              <w:rPr>
                <w:sz w:val="20"/>
                <w:szCs w:val="20"/>
              </w:rPr>
              <w:t>);</w:t>
            </w:r>
          </w:p>
          <w:p w14:paraId="3F09427F" w14:textId="4E40E3CE" w:rsidR="00DD7817" w:rsidRDefault="00DD7817" w:rsidP="00DD7817">
            <w:pPr>
              <w:rPr>
                <w:sz w:val="20"/>
                <w:szCs w:val="20"/>
              </w:rPr>
            </w:pPr>
            <w:r w:rsidRPr="00DD7817">
              <w:rPr>
                <w:sz w:val="20"/>
                <w:szCs w:val="20"/>
              </w:rPr>
              <w:t>Nationwide Inpatient Sample</w:t>
            </w:r>
            <w:r>
              <w:rPr>
                <w:sz w:val="20"/>
                <w:szCs w:val="20"/>
              </w:rPr>
              <w:t xml:space="preserve"> (2000-2005);</w:t>
            </w:r>
          </w:p>
          <w:p w14:paraId="6C3C51A8" w14:textId="3A1BC84F" w:rsidR="00DD7817" w:rsidRPr="00DD7817" w:rsidRDefault="00DD7817" w:rsidP="00DD7817">
            <w:pPr>
              <w:rPr>
                <w:sz w:val="20"/>
                <w:szCs w:val="20"/>
              </w:rPr>
            </w:pPr>
            <w:r w:rsidRPr="00DD7817">
              <w:rPr>
                <w:sz w:val="20"/>
                <w:szCs w:val="20"/>
              </w:rPr>
              <w:t>HCUP§ SID§§ for California (2011), Florida</w:t>
            </w:r>
          </w:p>
          <w:p w14:paraId="31A36C2A" w14:textId="611594C3" w:rsidR="00DD7817" w:rsidRDefault="00DD7817" w:rsidP="00DD7817">
            <w:pPr>
              <w:rPr>
                <w:sz w:val="20"/>
                <w:szCs w:val="20"/>
              </w:rPr>
            </w:pPr>
            <w:r w:rsidRPr="00DD7817">
              <w:rPr>
                <w:sz w:val="20"/>
                <w:szCs w:val="20"/>
              </w:rPr>
              <w:t xml:space="preserve">(2011), New York (2012) and Wisconsin </w:t>
            </w:r>
            <w:r w:rsidRPr="00DD7817">
              <w:rPr>
                <w:sz w:val="20"/>
                <w:szCs w:val="20"/>
              </w:rPr>
              <w:lastRenderedPageBreak/>
              <w:t>(2012).</w:t>
            </w:r>
          </w:p>
        </w:tc>
        <w:tc>
          <w:tcPr>
            <w:tcW w:w="3767" w:type="dxa"/>
          </w:tcPr>
          <w:p w14:paraId="022F4430" w14:textId="556E5420" w:rsidR="000F7388" w:rsidRDefault="000F7388" w:rsidP="00567F04">
            <w:pPr>
              <w:rPr>
                <w:sz w:val="20"/>
                <w:szCs w:val="20"/>
              </w:rPr>
            </w:pPr>
            <w:r>
              <w:rPr>
                <w:sz w:val="20"/>
                <w:szCs w:val="20"/>
              </w:rPr>
              <w:lastRenderedPageBreak/>
              <w:t xml:space="preserve">Deaths reported by </w:t>
            </w:r>
            <w:r w:rsidR="00E726D3">
              <w:rPr>
                <w:sz w:val="20"/>
                <w:szCs w:val="20"/>
              </w:rPr>
              <w:t>selected studies</w:t>
            </w:r>
            <w:r>
              <w:rPr>
                <w:sz w:val="20"/>
                <w:szCs w:val="20"/>
              </w:rPr>
              <w:t>:</w:t>
            </w:r>
          </w:p>
          <w:p w14:paraId="146B536E" w14:textId="77777777" w:rsidR="000F7388" w:rsidRDefault="000F7388" w:rsidP="00567F04">
            <w:pPr>
              <w:rPr>
                <w:sz w:val="20"/>
                <w:szCs w:val="20"/>
              </w:rPr>
            </w:pPr>
          </w:p>
          <w:p w14:paraId="2C942499" w14:textId="1A1AEFDB" w:rsidR="000F7388" w:rsidRDefault="000F7388" w:rsidP="00567F04">
            <w:pPr>
              <w:rPr>
                <w:sz w:val="20"/>
                <w:szCs w:val="20"/>
              </w:rPr>
            </w:pPr>
            <w:r>
              <w:rPr>
                <w:sz w:val="20"/>
                <w:szCs w:val="20"/>
              </w:rPr>
              <w:t>2. NIS +KIDS = 9 deaths</w:t>
            </w:r>
          </w:p>
          <w:p w14:paraId="51D9807F" w14:textId="77777777" w:rsidR="000F7388" w:rsidRDefault="000F7388" w:rsidP="00567F04">
            <w:pPr>
              <w:rPr>
                <w:sz w:val="20"/>
                <w:szCs w:val="20"/>
              </w:rPr>
            </w:pPr>
            <w:r>
              <w:rPr>
                <w:sz w:val="20"/>
                <w:szCs w:val="20"/>
              </w:rPr>
              <w:t xml:space="preserve">4. KIDS report only death rate 4.6% </w:t>
            </w:r>
          </w:p>
          <w:p w14:paraId="240FDE42" w14:textId="77777777" w:rsidR="000F7388" w:rsidRDefault="000F7388" w:rsidP="00567F04">
            <w:pPr>
              <w:rPr>
                <w:sz w:val="20"/>
                <w:szCs w:val="20"/>
              </w:rPr>
            </w:pPr>
            <w:r>
              <w:rPr>
                <w:sz w:val="20"/>
                <w:szCs w:val="20"/>
              </w:rPr>
              <w:t>6. NIS = 297 deaths</w:t>
            </w:r>
          </w:p>
          <w:p w14:paraId="65794E5D" w14:textId="0C65B638" w:rsidR="000F7388" w:rsidRPr="000F7388" w:rsidRDefault="000F7388" w:rsidP="00567F04">
            <w:pPr>
              <w:rPr>
                <w:sz w:val="20"/>
                <w:szCs w:val="20"/>
              </w:rPr>
            </w:pPr>
            <w:r>
              <w:rPr>
                <w:sz w:val="20"/>
                <w:szCs w:val="20"/>
              </w:rPr>
              <w:t xml:space="preserve">7. </w:t>
            </w:r>
            <w:r>
              <w:t xml:space="preserve"> </w:t>
            </w:r>
            <w:r w:rsidRPr="000F7388">
              <w:rPr>
                <w:sz w:val="20"/>
                <w:szCs w:val="20"/>
              </w:rPr>
              <w:t>HCUP</w:t>
            </w:r>
            <w:r w:rsidRPr="000F7388">
              <w:rPr>
                <w:sz w:val="20"/>
                <w:szCs w:val="20"/>
                <w:vertAlign w:val="superscript"/>
              </w:rPr>
              <w:t>§</w:t>
            </w:r>
            <w:r w:rsidRPr="000F7388">
              <w:rPr>
                <w:sz w:val="20"/>
                <w:szCs w:val="20"/>
              </w:rPr>
              <w:t xml:space="preserve"> SID</w:t>
            </w:r>
            <w:r>
              <w:rPr>
                <w:sz w:val="20"/>
                <w:szCs w:val="20"/>
                <w:vertAlign w:val="superscript"/>
              </w:rPr>
              <w:t xml:space="preserve"> </w:t>
            </w:r>
            <w:r w:rsidRPr="000F7388">
              <w:rPr>
                <w:sz w:val="20"/>
                <w:szCs w:val="20"/>
                <w:vertAlign w:val="superscript"/>
              </w:rPr>
              <w:t>§§</w:t>
            </w:r>
            <w:r>
              <w:rPr>
                <w:sz w:val="20"/>
                <w:szCs w:val="20"/>
                <w:vertAlign w:val="superscript"/>
              </w:rPr>
              <w:t xml:space="preserve"> </w:t>
            </w:r>
            <w:r>
              <w:rPr>
                <w:sz w:val="20"/>
                <w:szCs w:val="20"/>
              </w:rPr>
              <w:t>= 18 deaths</w:t>
            </w:r>
          </w:p>
        </w:tc>
        <w:tc>
          <w:tcPr>
            <w:tcW w:w="1738" w:type="dxa"/>
          </w:tcPr>
          <w:p w14:paraId="5E64077D" w14:textId="77777777" w:rsidR="00986808" w:rsidRDefault="00DD7817" w:rsidP="00986808">
            <w:pPr>
              <w:jc w:val="center"/>
              <w:rPr>
                <w:sz w:val="20"/>
                <w:szCs w:val="20"/>
              </w:rPr>
            </w:pPr>
            <w:r w:rsidRPr="00DD7817">
              <w:rPr>
                <w:sz w:val="20"/>
                <w:szCs w:val="20"/>
              </w:rPr>
              <w:t>ICD-9 based MH studies</w:t>
            </w:r>
          </w:p>
          <w:p w14:paraId="26A429E5" w14:textId="77777777" w:rsidR="00986808" w:rsidRDefault="00986808" w:rsidP="00986808">
            <w:pPr>
              <w:jc w:val="center"/>
              <w:rPr>
                <w:sz w:val="20"/>
                <w:szCs w:val="20"/>
              </w:rPr>
            </w:pPr>
          </w:p>
          <w:p w14:paraId="79C02E15" w14:textId="07BB0E5E" w:rsidR="00986808" w:rsidRDefault="00986808" w:rsidP="00683ACF">
            <w:pPr>
              <w:rPr>
                <w:sz w:val="20"/>
                <w:szCs w:val="20"/>
              </w:rPr>
            </w:pPr>
            <w:r>
              <w:rPr>
                <w:sz w:val="20"/>
                <w:szCs w:val="20"/>
              </w:rPr>
              <w:t xml:space="preserve">Overlapping </w:t>
            </w:r>
            <w:proofErr w:type="spellStart"/>
            <w:r>
              <w:rPr>
                <w:sz w:val="20"/>
                <w:szCs w:val="20"/>
              </w:rPr>
              <w:t>yrs</w:t>
            </w:r>
            <w:proofErr w:type="spellEnd"/>
            <w:r>
              <w:rPr>
                <w:sz w:val="20"/>
                <w:szCs w:val="20"/>
              </w:rPr>
              <w:t xml:space="preserve"> of studies using multiple databases with inherent flaws to data extraction make it difficult to </w:t>
            </w:r>
            <w:r w:rsidR="000F7388">
              <w:rPr>
                <w:sz w:val="20"/>
                <w:szCs w:val="20"/>
              </w:rPr>
              <w:t xml:space="preserve">make an accurate assessment of </w:t>
            </w:r>
            <w:r w:rsidR="000F7388" w:rsidRPr="00F45C84">
              <w:rPr>
                <w:sz w:val="20"/>
                <w:szCs w:val="20"/>
              </w:rPr>
              <w:t>deaths</w:t>
            </w:r>
            <w:r w:rsidR="00683ACF" w:rsidRPr="00F45C84">
              <w:rPr>
                <w:sz w:val="20"/>
                <w:szCs w:val="20"/>
              </w:rPr>
              <w:t>. If accept references with ICD9 code definition of MH, then mortality rate varies form 4.6% - 15.1%</w:t>
            </w:r>
          </w:p>
        </w:tc>
        <w:tc>
          <w:tcPr>
            <w:tcW w:w="1147" w:type="dxa"/>
          </w:tcPr>
          <w:p w14:paraId="5CB4D5D6" w14:textId="4831A8B9" w:rsidR="007A6A1D" w:rsidRDefault="00DD7817" w:rsidP="0015472F">
            <w:pPr>
              <w:jc w:val="center"/>
              <w:rPr>
                <w:sz w:val="20"/>
                <w:szCs w:val="20"/>
              </w:rPr>
            </w:pPr>
            <w:r>
              <w:rPr>
                <w:sz w:val="20"/>
                <w:szCs w:val="20"/>
              </w:rPr>
              <w:t>3</w:t>
            </w:r>
          </w:p>
        </w:tc>
        <w:tc>
          <w:tcPr>
            <w:tcW w:w="2093" w:type="dxa"/>
          </w:tcPr>
          <w:p w14:paraId="207C5679" w14:textId="3416A838" w:rsidR="007A6A1D" w:rsidRDefault="00DD7817" w:rsidP="0015472F">
            <w:pPr>
              <w:jc w:val="center"/>
              <w:rPr>
                <w:sz w:val="20"/>
                <w:szCs w:val="20"/>
              </w:rPr>
            </w:pPr>
            <w:r w:rsidRPr="00DD7817">
              <w:rPr>
                <w:sz w:val="20"/>
                <w:szCs w:val="20"/>
              </w:rPr>
              <w:t>Predominantly US estimates- selective reporting-possible incomplete or misdiagnosed anesthetic event-</w:t>
            </w:r>
          </w:p>
        </w:tc>
      </w:tr>
      <w:tr w:rsidR="00274CE0" w:rsidRPr="00A8597E" w14:paraId="3435AA41" w14:textId="77777777" w:rsidTr="00D63A6B">
        <w:trPr>
          <w:trHeight w:val="2132"/>
        </w:trPr>
        <w:tc>
          <w:tcPr>
            <w:tcW w:w="3165" w:type="dxa"/>
          </w:tcPr>
          <w:p w14:paraId="3E0E29BC" w14:textId="77777777" w:rsidR="00274CE0" w:rsidRDefault="00274CE0" w:rsidP="0015472F">
            <w:pPr>
              <w:jc w:val="center"/>
            </w:pPr>
          </w:p>
        </w:tc>
        <w:tc>
          <w:tcPr>
            <w:tcW w:w="1253" w:type="dxa"/>
          </w:tcPr>
          <w:p w14:paraId="4063E00C" w14:textId="77777777" w:rsidR="00274CE0" w:rsidRPr="002706D0" w:rsidRDefault="00274CE0" w:rsidP="00F467B2">
            <w:pPr>
              <w:rPr>
                <w:sz w:val="20"/>
                <w:szCs w:val="20"/>
              </w:rPr>
            </w:pPr>
          </w:p>
        </w:tc>
        <w:tc>
          <w:tcPr>
            <w:tcW w:w="3767" w:type="dxa"/>
          </w:tcPr>
          <w:p w14:paraId="52970287" w14:textId="77777777" w:rsidR="00274CE0" w:rsidRDefault="00274CE0" w:rsidP="00274CE0">
            <w:pPr>
              <w:rPr>
                <w:sz w:val="20"/>
                <w:szCs w:val="20"/>
              </w:rPr>
            </w:pPr>
          </w:p>
        </w:tc>
        <w:tc>
          <w:tcPr>
            <w:tcW w:w="1738" w:type="dxa"/>
          </w:tcPr>
          <w:p w14:paraId="0648CA8A" w14:textId="77777777" w:rsidR="00274CE0" w:rsidRPr="002706D0" w:rsidRDefault="00274CE0" w:rsidP="002706D0">
            <w:pPr>
              <w:jc w:val="center"/>
              <w:rPr>
                <w:sz w:val="20"/>
                <w:szCs w:val="20"/>
              </w:rPr>
            </w:pPr>
          </w:p>
        </w:tc>
        <w:tc>
          <w:tcPr>
            <w:tcW w:w="1147" w:type="dxa"/>
          </w:tcPr>
          <w:p w14:paraId="318ECD47" w14:textId="77777777" w:rsidR="00274CE0" w:rsidRDefault="00274CE0" w:rsidP="0015472F">
            <w:pPr>
              <w:jc w:val="center"/>
              <w:rPr>
                <w:sz w:val="20"/>
                <w:szCs w:val="20"/>
              </w:rPr>
            </w:pPr>
          </w:p>
        </w:tc>
        <w:tc>
          <w:tcPr>
            <w:tcW w:w="2093" w:type="dxa"/>
          </w:tcPr>
          <w:p w14:paraId="4E65D8A9" w14:textId="77777777" w:rsidR="00274CE0" w:rsidRPr="002706D0" w:rsidRDefault="00274CE0" w:rsidP="0015472F">
            <w:pPr>
              <w:jc w:val="center"/>
              <w:rPr>
                <w:sz w:val="20"/>
                <w:szCs w:val="20"/>
              </w:rPr>
            </w:pPr>
          </w:p>
        </w:tc>
      </w:tr>
      <w:tr w:rsidR="00A766E6" w:rsidRPr="00A8597E" w14:paraId="19927163" w14:textId="77777777" w:rsidTr="00D63A6B">
        <w:trPr>
          <w:trHeight w:val="2132"/>
        </w:trPr>
        <w:tc>
          <w:tcPr>
            <w:tcW w:w="3165" w:type="dxa"/>
          </w:tcPr>
          <w:p w14:paraId="382F356A" w14:textId="7733B667" w:rsidR="00A766E6" w:rsidRDefault="00274CE0" w:rsidP="0015472F">
            <w:pPr>
              <w:jc w:val="center"/>
              <w:rPr>
                <w:rFonts w:cstheme="minorHAnsi"/>
                <w:b/>
                <w:u w:val="single"/>
              </w:rPr>
            </w:pPr>
            <w:r>
              <w:t xml:space="preserve">Other:  </w:t>
            </w:r>
            <w:r w:rsidR="00A766E6">
              <w:t>NAMHR unpublished data</w:t>
            </w:r>
          </w:p>
        </w:tc>
        <w:tc>
          <w:tcPr>
            <w:tcW w:w="1253" w:type="dxa"/>
          </w:tcPr>
          <w:p w14:paraId="0620EBBE" w14:textId="65DECEFD" w:rsidR="00A766E6" w:rsidRDefault="002706D0" w:rsidP="00F467B2">
            <w:pPr>
              <w:rPr>
                <w:sz w:val="20"/>
                <w:szCs w:val="20"/>
              </w:rPr>
            </w:pPr>
            <w:r w:rsidRPr="002706D0">
              <w:rPr>
                <w:sz w:val="20"/>
                <w:szCs w:val="20"/>
              </w:rPr>
              <w:t>1/1/2013-12/31/2016</w:t>
            </w:r>
          </w:p>
        </w:tc>
        <w:tc>
          <w:tcPr>
            <w:tcW w:w="3767" w:type="dxa"/>
          </w:tcPr>
          <w:p w14:paraId="0CA08DFE" w14:textId="2DEFFE2D" w:rsidR="00274CE0" w:rsidRDefault="00274CE0" w:rsidP="00274CE0">
            <w:pPr>
              <w:rPr>
                <w:sz w:val="20"/>
                <w:szCs w:val="20"/>
              </w:rPr>
            </w:pPr>
            <w:r>
              <w:rPr>
                <w:sz w:val="20"/>
                <w:szCs w:val="20"/>
              </w:rPr>
              <w:t xml:space="preserve">Total number of CGS </w:t>
            </w:r>
            <w:r>
              <w:rPr>
                <w:rFonts w:ascii="Cambria" w:hAnsi="Cambria"/>
                <w:sz w:val="20"/>
                <w:szCs w:val="20"/>
              </w:rPr>
              <w:t>≥</w:t>
            </w:r>
            <w:r>
              <w:rPr>
                <w:sz w:val="20"/>
                <w:szCs w:val="20"/>
              </w:rPr>
              <w:t xml:space="preserve"> 20 or “fulminant” cases=75</w:t>
            </w:r>
          </w:p>
          <w:p w14:paraId="06741255" w14:textId="77777777" w:rsidR="00274CE0" w:rsidRDefault="00274CE0" w:rsidP="00274CE0">
            <w:pPr>
              <w:rPr>
                <w:sz w:val="20"/>
                <w:szCs w:val="20"/>
              </w:rPr>
            </w:pPr>
            <w:r>
              <w:rPr>
                <w:sz w:val="20"/>
                <w:szCs w:val="20"/>
              </w:rPr>
              <w:t xml:space="preserve">- 3 deaths </w:t>
            </w:r>
          </w:p>
          <w:p w14:paraId="38008F65" w14:textId="5F635805" w:rsidR="00A766E6" w:rsidRPr="00567F04" w:rsidRDefault="00A766E6" w:rsidP="00567F04">
            <w:pPr>
              <w:rPr>
                <w:sz w:val="20"/>
                <w:szCs w:val="20"/>
              </w:rPr>
            </w:pPr>
          </w:p>
        </w:tc>
        <w:tc>
          <w:tcPr>
            <w:tcW w:w="1738" w:type="dxa"/>
          </w:tcPr>
          <w:p w14:paraId="06F564D2" w14:textId="77777777" w:rsidR="002706D0" w:rsidRPr="002706D0" w:rsidRDefault="002706D0" w:rsidP="002706D0">
            <w:pPr>
              <w:jc w:val="center"/>
              <w:rPr>
                <w:sz w:val="20"/>
                <w:szCs w:val="20"/>
              </w:rPr>
            </w:pPr>
            <w:r w:rsidRPr="002706D0">
              <w:rPr>
                <w:sz w:val="20"/>
                <w:szCs w:val="20"/>
              </w:rPr>
              <w:t>Mortality rate</w:t>
            </w:r>
          </w:p>
          <w:p w14:paraId="0889F873" w14:textId="0F298D08" w:rsidR="00A766E6" w:rsidRDefault="002706D0" w:rsidP="002706D0">
            <w:pPr>
              <w:jc w:val="center"/>
              <w:rPr>
                <w:sz w:val="20"/>
                <w:szCs w:val="20"/>
              </w:rPr>
            </w:pPr>
            <w:r w:rsidRPr="002706D0">
              <w:rPr>
                <w:sz w:val="20"/>
                <w:szCs w:val="20"/>
              </w:rPr>
              <w:t>4.0%</w:t>
            </w:r>
          </w:p>
        </w:tc>
        <w:tc>
          <w:tcPr>
            <w:tcW w:w="1147" w:type="dxa"/>
          </w:tcPr>
          <w:p w14:paraId="300D16B1" w14:textId="77777777" w:rsidR="00A766E6" w:rsidRDefault="00A766E6" w:rsidP="0015472F">
            <w:pPr>
              <w:jc w:val="center"/>
              <w:rPr>
                <w:sz w:val="20"/>
                <w:szCs w:val="20"/>
              </w:rPr>
            </w:pPr>
          </w:p>
        </w:tc>
        <w:tc>
          <w:tcPr>
            <w:tcW w:w="2093" w:type="dxa"/>
          </w:tcPr>
          <w:p w14:paraId="012C3FA6" w14:textId="08C4428B" w:rsidR="00A766E6" w:rsidRDefault="002706D0" w:rsidP="0015472F">
            <w:pPr>
              <w:jc w:val="center"/>
              <w:rPr>
                <w:sz w:val="20"/>
                <w:szCs w:val="20"/>
              </w:rPr>
            </w:pPr>
            <w:r w:rsidRPr="002706D0">
              <w:rPr>
                <w:sz w:val="20"/>
                <w:szCs w:val="20"/>
              </w:rPr>
              <w:t xml:space="preserve">Personal Communication from Barbara W. </w:t>
            </w:r>
            <w:proofErr w:type="spellStart"/>
            <w:r w:rsidRPr="002706D0">
              <w:rPr>
                <w:sz w:val="20"/>
                <w:szCs w:val="20"/>
              </w:rPr>
              <w:t>Brandom</w:t>
            </w:r>
            <w:proofErr w:type="spellEnd"/>
            <w:r w:rsidRPr="002706D0">
              <w:rPr>
                <w:sz w:val="20"/>
                <w:szCs w:val="20"/>
              </w:rPr>
              <w:t>, Past NAMHR Director to M.G. Larach, February 22, 2018</w:t>
            </w:r>
          </w:p>
        </w:tc>
      </w:tr>
    </w:tbl>
    <w:p w14:paraId="561DAB68" w14:textId="77777777" w:rsidR="0015472F" w:rsidRPr="0015472F" w:rsidRDefault="0015472F" w:rsidP="007A7118"/>
    <w:p w14:paraId="4B459EBB" w14:textId="33726770" w:rsidR="00111142" w:rsidRDefault="0086060B" w:rsidP="007A7118">
      <w:r>
        <w:t>*</w:t>
      </w:r>
      <w:r w:rsidR="002E71DB">
        <w:t xml:space="preserve"> </w:t>
      </w:r>
      <w:r>
        <w:t>NAMHR=North American Malignant Hyperthermia Registry (Registry) of the Malignant Hyperth</w:t>
      </w:r>
      <w:r w:rsidR="002E71DB">
        <w:t>ermia Association of the US</w:t>
      </w:r>
    </w:p>
    <w:p w14:paraId="62CB1594" w14:textId="3979B8C4" w:rsidR="00935035" w:rsidRDefault="002E71DB" w:rsidP="007A7118">
      <w:r>
        <w:t>**CGS=Clinical Grading S</w:t>
      </w:r>
      <w:r w:rsidR="00935035">
        <w:t>cale</w:t>
      </w:r>
    </w:p>
    <w:p w14:paraId="54B8EC0D" w14:textId="18673A25" w:rsidR="002E71DB" w:rsidRDefault="002E71DB" w:rsidP="002E71DB">
      <w:r>
        <w:t>§</w:t>
      </w:r>
      <w:r w:rsidR="00935035">
        <w:t xml:space="preserve"> </w:t>
      </w:r>
      <w:r>
        <w:t>HCUP=</w:t>
      </w:r>
      <w:r w:rsidRPr="002E71DB">
        <w:rPr>
          <w:sz w:val="20"/>
          <w:szCs w:val="20"/>
        </w:rPr>
        <w:t xml:space="preserve"> </w:t>
      </w:r>
      <w:r w:rsidRPr="002E71DB">
        <w:t>Healthcare Cost and Utilization</w:t>
      </w:r>
      <w:r>
        <w:t xml:space="preserve"> Project</w:t>
      </w:r>
    </w:p>
    <w:p w14:paraId="2CF497D8" w14:textId="3FB7F50E" w:rsidR="00B13941" w:rsidRDefault="00F467B2">
      <w:pPr>
        <w:rPr>
          <w:rFonts w:ascii="Calibri" w:hAnsi="Calibri" w:cs="Calibri"/>
          <w:color w:val="14A0C2"/>
          <w:sz w:val="32"/>
          <w:szCs w:val="32"/>
          <w:lang w:eastAsia="ja-JP"/>
        </w:rPr>
      </w:pPr>
      <w:r>
        <w:t>§§SID=State Inpatient Database</w:t>
      </w:r>
    </w:p>
    <w:p w14:paraId="3E71F33D" w14:textId="77777777" w:rsidR="00B13941" w:rsidRPr="005D4B6E" w:rsidRDefault="00B13941" w:rsidP="00111142"/>
    <w:sectPr w:rsidR="00B13941" w:rsidRPr="005D4B6E" w:rsidSect="00111142">
      <w:headerReference w:type="even" r:id="rId8"/>
      <w:headerReference w:type="default" r:id="rId9"/>
      <w:footnotePr>
        <w:numFmt w:val="chicago"/>
      </w:footnotePr>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6D305" w14:textId="77777777" w:rsidR="00654301" w:rsidRDefault="00654301" w:rsidP="006D1536">
      <w:r>
        <w:separator/>
      </w:r>
    </w:p>
  </w:endnote>
  <w:endnote w:type="continuationSeparator" w:id="0">
    <w:p w14:paraId="1A4E24EA" w14:textId="77777777" w:rsidR="00654301" w:rsidRDefault="00654301" w:rsidP="006D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2443F" w14:textId="77777777" w:rsidR="00654301" w:rsidRDefault="00654301" w:rsidP="006D1536">
      <w:r>
        <w:separator/>
      </w:r>
    </w:p>
  </w:footnote>
  <w:footnote w:type="continuationSeparator" w:id="0">
    <w:p w14:paraId="4D5C6E73" w14:textId="77777777" w:rsidR="00654301" w:rsidRDefault="00654301" w:rsidP="006D15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DE75D" w14:textId="77777777" w:rsidR="00A51E29" w:rsidRDefault="00A51E29" w:rsidP="006D15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C1BBF7" w14:textId="77777777" w:rsidR="00A51E29" w:rsidRDefault="00A51E29" w:rsidP="006D153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07C8" w14:textId="287BA558" w:rsidR="00A51E29" w:rsidRDefault="00A51E29" w:rsidP="006D15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4F99">
      <w:rPr>
        <w:rStyle w:val="PageNumber"/>
        <w:noProof/>
      </w:rPr>
      <w:t>2</w:t>
    </w:r>
    <w:r>
      <w:rPr>
        <w:rStyle w:val="PageNumber"/>
      </w:rPr>
      <w:fldChar w:fldCharType="end"/>
    </w:r>
  </w:p>
  <w:p w14:paraId="25297699" w14:textId="77777777" w:rsidR="00A51E29" w:rsidRDefault="00A51E29" w:rsidP="006D153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2A7"/>
    <w:multiLevelType w:val="hybridMultilevel"/>
    <w:tmpl w:val="BB74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61B64"/>
    <w:multiLevelType w:val="hybridMultilevel"/>
    <w:tmpl w:val="02828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82F1A"/>
    <w:multiLevelType w:val="hybridMultilevel"/>
    <w:tmpl w:val="79E6E77E"/>
    <w:lvl w:ilvl="0" w:tplc="70F83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2181E"/>
    <w:multiLevelType w:val="hybridMultilevel"/>
    <w:tmpl w:val="C3BA4E5A"/>
    <w:lvl w:ilvl="0" w:tplc="448CFF96">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4E3F94"/>
    <w:multiLevelType w:val="hybridMultilevel"/>
    <w:tmpl w:val="3182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44"/>
    <w:rsid w:val="00001AC0"/>
    <w:rsid w:val="000027F6"/>
    <w:rsid w:val="00002BA4"/>
    <w:rsid w:val="00010D67"/>
    <w:rsid w:val="0001219C"/>
    <w:rsid w:val="00012A72"/>
    <w:rsid w:val="00014A56"/>
    <w:rsid w:val="00016DDD"/>
    <w:rsid w:val="0001734C"/>
    <w:rsid w:val="00022D98"/>
    <w:rsid w:val="00025C64"/>
    <w:rsid w:val="00031237"/>
    <w:rsid w:val="000351DB"/>
    <w:rsid w:val="00037AAF"/>
    <w:rsid w:val="000470F3"/>
    <w:rsid w:val="00050A0C"/>
    <w:rsid w:val="00052152"/>
    <w:rsid w:val="00060F19"/>
    <w:rsid w:val="000632F4"/>
    <w:rsid w:val="000672BA"/>
    <w:rsid w:val="00073C13"/>
    <w:rsid w:val="00076DC2"/>
    <w:rsid w:val="000772F4"/>
    <w:rsid w:val="00084773"/>
    <w:rsid w:val="000904F9"/>
    <w:rsid w:val="00094D18"/>
    <w:rsid w:val="000A0A35"/>
    <w:rsid w:val="000A0BEE"/>
    <w:rsid w:val="000A3252"/>
    <w:rsid w:val="000B2D92"/>
    <w:rsid w:val="000C2571"/>
    <w:rsid w:val="000C2BE1"/>
    <w:rsid w:val="000C72F3"/>
    <w:rsid w:val="000D4D69"/>
    <w:rsid w:val="000E54F5"/>
    <w:rsid w:val="000E57D3"/>
    <w:rsid w:val="000F4F4C"/>
    <w:rsid w:val="000F7388"/>
    <w:rsid w:val="000F7E84"/>
    <w:rsid w:val="001013BC"/>
    <w:rsid w:val="00107B29"/>
    <w:rsid w:val="00107BD6"/>
    <w:rsid w:val="00111142"/>
    <w:rsid w:val="00117C25"/>
    <w:rsid w:val="00120AF8"/>
    <w:rsid w:val="001227E1"/>
    <w:rsid w:val="00134E92"/>
    <w:rsid w:val="0013587E"/>
    <w:rsid w:val="00145100"/>
    <w:rsid w:val="00150AF2"/>
    <w:rsid w:val="0015472F"/>
    <w:rsid w:val="00163FE6"/>
    <w:rsid w:val="00164194"/>
    <w:rsid w:val="00170A27"/>
    <w:rsid w:val="00176208"/>
    <w:rsid w:val="00185E25"/>
    <w:rsid w:val="00190026"/>
    <w:rsid w:val="00190657"/>
    <w:rsid w:val="00192107"/>
    <w:rsid w:val="00193FB4"/>
    <w:rsid w:val="001B04CC"/>
    <w:rsid w:val="001B102C"/>
    <w:rsid w:val="001C4655"/>
    <w:rsid w:val="001C5707"/>
    <w:rsid w:val="001C61BF"/>
    <w:rsid w:val="001D50B9"/>
    <w:rsid w:val="001D75B8"/>
    <w:rsid w:val="001F03C1"/>
    <w:rsid w:val="001F3866"/>
    <w:rsid w:val="001F4818"/>
    <w:rsid w:val="001F52B9"/>
    <w:rsid w:val="00202538"/>
    <w:rsid w:val="0020749B"/>
    <w:rsid w:val="002124F1"/>
    <w:rsid w:val="00214F14"/>
    <w:rsid w:val="0021565E"/>
    <w:rsid w:val="00222273"/>
    <w:rsid w:val="0022266B"/>
    <w:rsid w:val="00226C94"/>
    <w:rsid w:val="00226EDF"/>
    <w:rsid w:val="00230872"/>
    <w:rsid w:val="00233378"/>
    <w:rsid w:val="00236D00"/>
    <w:rsid w:val="00241AEA"/>
    <w:rsid w:val="00243710"/>
    <w:rsid w:val="00251F2A"/>
    <w:rsid w:val="0027013D"/>
    <w:rsid w:val="002706D0"/>
    <w:rsid w:val="0027474B"/>
    <w:rsid w:val="00274CE0"/>
    <w:rsid w:val="00277DD7"/>
    <w:rsid w:val="00284AAB"/>
    <w:rsid w:val="00285F7C"/>
    <w:rsid w:val="0028694D"/>
    <w:rsid w:val="002A35A6"/>
    <w:rsid w:val="002B365A"/>
    <w:rsid w:val="002B3EB8"/>
    <w:rsid w:val="002C4757"/>
    <w:rsid w:val="002C5A0A"/>
    <w:rsid w:val="002C7839"/>
    <w:rsid w:val="002E1D2D"/>
    <w:rsid w:val="002E71DB"/>
    <w:rsid w:val="002E7E5D"/>
    <w:rsid w:val="002F40F8"/>
    <w:rsid w:val="002F550B"/>
    <w:rsid w:val="002F6B85"/>
    <w:rsid w:val="00304C5E"/>
    <w:rsid w:val="00304C95"/>
    <w:rsid w:val="00307639"/>
    <w:rsid w:val="0032675C"/>
    <w:rsid w:val="00337647"/>
    <w:rsid w:val="00337AE2"/>
    <w:rsid w:val="0034524F"/>
    <w:rsid w:val="00354589"/>
    <w:rsid w:val="003601CA"/>
    <w:rsid w:val="00361798"/>
    <w:rsid w:val="00372877"/>
    <w:rsid w:val="00374F99"/>
    <w:rsid w:val="003800F4"/>
    <w:rsid w:val="00384DF5"/>
    <w:rsid w:val="0038633A"/>
    <w:rsid w:val="003923E2"/>
    <w:rsid w:val="003A2215"/>
    <w:rsid w:val="003A2A49"/>
    <w:rsid w:val="003A6BFC"/>
    <w:rsid w:val="003B1A17"/>
    <w:rsid w:val="003C6BDE"/>
    <w:rsid w:val="003D0E73"/>
    <w:rsid w:val="003E5EF4"/>
    <w:rsid w:val="003E7FF9"/>
    <w:rsid w:val="003F0152"/>
    <w:rsid w:val="003F1A40"/>
    <w:rsid w:val="00406037"/>
    <w:rsid w:val="0040651C"/>
    <w:rsid w:val="004107A8"/>
    <w:rsid w:val="00410B89"/>
    <w:rsid w:val="00411E48"/>
    <w:rsid w:val="0042053B"/>
    <w:rsid w:val="00426163"/>
    <w:rsid w:val="00427E2D"/>
    <w:rsid w:val="004304A4"/>
    <w:rsid w:val="004344B9"/>
    <w:rsid w:val="00434936"/>
    <w:rsid w:val="00435011"/>
    <w:rsid w:val="00441664"/>
    <w:rsid w:val="0046201E"/>
    <w:rsid w:val="0046751F"/>
    <w:rsid w:val="004700F8"/>
    <w:rsid w:val="00471C43"/>
    <w:rsid w:val="004828B6"/>
    <w:rsid w:val="0048428D"/>
    <w:rsid w:val="00485137"/>
    <w:rsid w:val="0049187D"/>
    <w:rsid w:val="00497B46"/>
    <w:rsid w:val="004A224A"/>
    <w:rsid w:val="004A47F4"/>
    <w:rsid w:val="004A509C"/>
    <w:rsid w:val="004B1156"/>
    <w:rsid w:val="004B56D7"/>
    <w:rsid w:val="004B650A"/>
    <w:rsid w:val="004B76BB"/>
    <w:rsid w:val="004C0939"/>
    <w:rsid w:val="004C2058"/>
    <w:rsid w:val="004D45D2"/>
    <w:rsid w:val="004E09F3"/>
    <w:rsid w:val="004E1578"/>
    <w:rsid w:val="004E1C05"/>
    <w:rsid w:val="004E42D5"/>
    <w:rsid w:val="004F3D14"/>
    <w:rsid w:val="004F4131"/>
    <w:rsid w:val="004F55BE"/>
    <w:rsid w:val="005028B1"/>
    <w:rsid w:val="00507772"/>
    <w:rsid w:val="00515A18"/>
    <w:rsid w:val="005170CC"/>
    <w:rsid w:val="00520EC1"/>
    <w:rsid w:val="0052116A"/>
    <w:rsid w:val="00521328"/>
    <w:rsid w:val="00530036"/>
    <w:rsid w:val="00546A6E"/>
    <w:rsid w:val="00550208"/>
    <w:rsid w:val="005562FE"/>
    <w:rsid w:val="005640CA"/>
    <w:rsid w:val="00564A4D"/>
    <w:rsid w:val="00565247"/>
    <w:rsid w:val="00567F04"/>
    <w:rsid w:val="0057384E"/>
    <w:rsid w:val="00580373"/>
    <w:rsid w:val="0058149C"/>
    <w:rsid w:val="00583CA7"/>
    <w:rsid w:val="00585542"/>
    <w:rsid w:val="00585BF4"/>
    <w:rsid w:val="005860EA"/>
    <w:rsid w:val="00586C95"/>
    <w:rsid w:val="00587C99"/>
    <w:rsid w:val="00587F02"/>
    <w:rsid w:val="00593072"/>
    <w:rsid w:val="005A596F"/>
    <w:rsid w:val="005A6406"/>
    <w:rsid w:val="005A73F8"/>
    <w:rsid w:val="005B577C"/>
    <w:rsid w:val="005C0CBF"/>
    <w:rsid w:val="005C16BD"/>
    <w:rsid w:val="005C2320"/>
    <w:rsid w:val="005D4B6E"/>
    <w:rsid w:val="005D6C52"/>
    <w:rsid w:val="005D70F1"/>
    <w:rsid w:val="005D742A"/>
    <w:rsid w:val="005E2643"/>
    <w:rsid w:val="005F7842"/>
    <w:rsid w:val="00604DFF"/>
    <w:rsid w:val="00606AC7"/>
    <w:rsid w:val="0061230C"/>
    <w:rsid w:val="00615C20"/>
    <w:rsid w:val="00622F15"/>
    <w:rsid w:val="00632C71"/>
    <w:rsid w:val="00633973"/>
    <w:rsid w:val="006356D6"/>
    <w:rsid w:val="006419DC"/>
    <w:rsid w:val="00643EBD"/>
    <w:rsid w:val="006520B2"/>
    <w:rsid w:val="00654301"/>
    <w:rsid w:val="00664EF4"/>
    <w:rsid w:val="006662A6"/>
    <w:rsid w:val="00675EBF"/>
    <w:rsid w:val="0068217E"/>
    <w:rsid w:val="00683ACF"/>
    <w:rsid w:val="00687BC7"/>
    <w:rsid w:val="006936C8"/>
    <w:rsid w:val="00693809"/>
    <w:rsid w:val="006939B3"/>
    <w:rsid w:val="0069405A"/>
    <w:rsid w:val="006A3E36"/>
    <w:rsid w:val="006A5D8D"/>
    <w:rsid w:val="006A5DC0"/>
    <w:rsid w:val="006A7A32"/>
    <w:rsid w:val="006B71D6"/>
    <w:rsid w:val="006C2861"/>
    <w:rsid w:val="006C6D41"/>
    <w:rsid w:val="006D1536"/>
    <w:rsid w:val="006D3439"/>
    <w:rsid w:val="006D6964"/>
    <w:rsid w:val="006E306E"/>
    <w:rsid w:val="006E555D"/>
    <w:rsid w:val="006E5BCA"/>
    <w:rsid w:val="006E7024"/>
    <w:rsid w:val="006F1760"/>
    <w:rsid w:val="006F26BA"/>
    <w:rsid w:val="007047FA"/>
    <w:rsid w:val="007051F1"/>
    <w:rsid w:val="0070574B"/>
    <w:rsid w:val="007107B4"/>
    <w:rsid w:val="00715077"/>
    <w:rsid w:val="007160CB"/>
    <w:rsid w:val="00716C08"/>
    <w:rsid w:val="00725354"/>
    <w:rsid w:val="00726212"/>
    <w:rsid w:val="00731505"/>
    <w:rsid w:val="00737061"/>
    <w:rsid w:val="007419D3"/>
    <w:rsid w:val="00750617"/>
    <w:rsid w:val="007526FF"/>
    <w:rsid w:val="00756EDA"/>
    <w:rsid w:val="00762E4F"/>
    <w:rsid w:val="00765CC3"/>
    <w:rsid w:val="00770133"/>
    <w:rsid w:val="0079308D"/>
    <w:rsid w:val="00797194"/>
    <w:rsid w:val="007A2D41"/>
    <w:rsid w:val="007A3556"/>
    <w:rsid w:val="007A4E85"/>
    <w:rsid w:val="007A6A1D"/>
    <w:rsid w:val="007A7118"/>
    <w:rsid w:val="007B197E"/>
    <w:rsid w:val="007C0A2E"/>
    <w:rsid w:val="007C1ECC"/>
    <w:rsid w:val="007C65FC"/>
    <w:rsid w:val="007C7D64"/>
    <w:rsid w:val="00805DA9"/>
    <w:rsid w:val="0081617A"/>
    <w:rsid w:val="00821365"/>
    <w:rsid w:val="008220DA"/>
    <w:rsid w:val="00824C86"/>
    <w:rsid w:val="0082695E"/>
    <w:rsid w:val="00835A9F"/>
    <w:rsid w:val="00836CC5"/>
    <w:rsid w:val="008434F9"/>
    <w:rsid w:val="00855D68"/>
    <w:rsid w:val="0086060B"/>
    <w:rsid w:val="00860FBB"/>
    <w:rsid w:val="00862CF8"/>
    <w:rsid w:val="00863326"/>
    <w:rsid w:val="008707E4"/>
    <w:rsid w:val="008762CD"/>
    <w:rsid w:val="00891BCC"/>
    <w:rsid w:val="00892536"/>
    <w:rsid w:val="008940A6"/>
    <w:rsid w:val="00894118"/>
    <w:rsid w:val="00894E18"/>
    <w:rsid w:val="008A1471"/>
    <w:rsid w:val="008A23FF"/>
    <w:rsid w:val="008A760A"/>
    <w:rsid w:val="008A78B1"/>
    <w:rsid w:val="008B243B"/>
    <w:rsid w:val="008B474D"/>
    <w:rsid w:val="008C3E17"/>
    <w:rsid w:val="008C4395"/>
    <w:rsid w:val="008D0FDB"/>
    <w:rsid w:val="008D1B30"/>
    <w:rsid w:val="008D50B3"/>
    <w:rsid w:val="008E1C7E"/>
    <w:rsid w:val="008E6443"/>
    <w:rsid w:val="00900EF1"/>
    <w:rsid w:val="00901007"/>
    <w:rsid w:val="00905DE1"/>
    <w:rsid w:val="00907AC1"/>
    <w:rsid w:val="00914E32"/>
    <w:rsid w:val="0092027E"/>
    <w:rsid w:val="00920757"/>
    <w:rsid w:val="00927EB4"/>
    <w:rsid w:val="009322C6"/>
    <w:rsid w:val="00934288"/>
    <w:rsid w:val="00935035"/>
    <w:rsid w:val="00937E6B"/>
    <w:rsid w:val="00940AC6"/>
    <w:rsid w:val="00944E5C"/>
    <w:rsid w:val="00950408"/>
    <w:rsid w:val="00950868"/>
    <w:rsid w:val="009521A7"/>
    <w:rsid w:val="009545C1"/>
    <w:rsid w:val="009574C4"/>
    <w:rsid w:val="00971F9A"/>
    <w:rsid w:val="00977DDB"/>
    <w:rsid w:val="009839AA"/>
    <w:rsid w:val="00984967"/>
    <w:rsid w:val="009849F5"/>
    <w:rsid w:val="00986808"/>
    <w:rsid w:val="00991F25"/>
    <w:rsid w:val="009967D8"/>
    <w:rsid w:val="009A1D38"/>
    <w:rsid w:val="009A3774"/>
    <w:rsid w:val="009A3BED"/>
    <w:rsid w:val="009B1023"/>
    <w:rsid w:val="009B2E70"/>
    <w:rsid w:val="009B3C88"/>
    <w:rsid w:val="009B5ABE"/>
    <w:rsid w:val="009C6214"/>
    <w:rsid w:val="009D037D"/>
    <w:rsid w:val="009E1581"/>
    <w:rsid w:val="009E56F9"/>
    <w:rsid w:val="00A0459D"/>
    <w:rsid w:val="00A05D5F"/>
    <w:rsid w:val="00A11313"/>
    <w:rsid w:val="00A11652"/>
    <w:rsid w:val="00A12A79"/>
    <w:rsid w:val="00A13601"/>
    <w:rsid w:val="00A31D0D"/>
    <w:rsid w:val="00A40B67"/>
    <w:rsid w:val="00A443CE"/>
    <w:rsid w:val="00A51E29"/>
    <w:rsid w:val="00A52C0C"/>
    <w:rsid w:val="00A56934"/>
    <w:rsid w:val="00A61910"/>
    <w:rsid w:val="00A76076"/>
    <w:rsid w:val="00A766E6"/>
    <w:rsid w:val="00A806AA"/>
    <w:rsid w:val="00A80FE7"/>
    <w:rsid w:val="00A83D2B"/>
    <w:rsid w:val="00A9303F"/>
    <w:rsid w:val="00A93BBC"/>
    <w:rsid w:val="00AA1620"/>
    <w:rsid w:val="00AA228C"/>
    <w:rsid w:val="00AB7845"/>
    <w:rsid w:val="00AD2266"/>
    <w:rsid w:val="00AD66B3"/>
    <w:rsid w:val="00AE3497"/>
    <w:rsid w:val="00AF1B32"/>
    <w:rsid w:val="00AF72E3"/>
    <w:rsid w:val="00AF7A7F"/>
    <w:rsid w:val="00B00201"/>
    <w:rsid w:val="00B01EE9"/>
    <w:rsid w:val="00B11EF9"/>
    <w:rsid w:val="00B13941"/>
    <w:rsid w:val="00B15F8F"/>
    <w:rsid w:val="00B17D8C"/>
    <w:rsid w:val="00B2180C"/>
    <w:rsid w:val="00B312BC"/>
    <w:rsid w:val="00B31AF6"/>
    <w:rsid w:val="00B321CD"/>
    <w:rsid w:val="00B411D5"/>
    <w:rsid w:val="00B4170D"/>
    <w:rsid w:val="00B42553"/>
    <w:rsid w:val="00B4302C"/>
    <w:rsid w:val="00B4422A"/>
    <w:rsid w:val="00B44786"/>
    <w:rsid w:val="00B45220"/>
    <w:rsid w:val="00B4777D"/>
    <w:rsid w:val="00B5186B"/>
    <w:rsid w:val="00B74727"/>
    <w:rsid w:val="00B74A9D"/>
    <w:rsid w:val="00B848B4"/>
    <w:rsid w:val="00B858D6"/>
    <w:rsid w:val="00B8724E"/>
    <w:rsid w:val="00B90185"/>
    <w:rsid w:val="00B92AE8"/>
    <w:rsid w:val="00BA0C9D"/>
    <w:rsid w:val="00BA3278"/>
    <w:rsid w:val="00BB253F"/>
    <w:rsid w:val="00BC0A55"/>
    <w:rsid w:val="00BC7B42"/>
    <w:rsid w:val="00BD638D"/>
    <w:rsid w:val="00BE03EB"/>
    <w:rsid w:val="00BE3AC6"/>
    <w:rsid w:val="00BF0D34"/>
    <w:rsid w:val="00BF7AED"/>
    <w:rsid w:val="00C00AA8"/>
    <w:rsid w:val="00C0582B"/>
    <w:rsid w:val="00C10E47"/>
    <w:rsid w:val="00C14444"/>
    <w:rsid w:val="00C21CCF"/>
    <w:rsid w:val="00C31FCF"/>
    <w:rsid w:val="00C32845"/>
    <w:rsid w:val="00C35327"/>
    <w:rsid w:val="00C369F2"/>
    <w:rsid w:val="00C437D0"/>
    <w:rsid w:val="00C44300"/>
    <w:rsid w:val="00C52B75"/>
    <w:rsid w:val="00C530F3"/>
    <w:rsid w:val="00C717C3"/>
    <w:rsid w:val="00C732B7"/>
    <w:rsid w:val="00C74276"/>
    <w:rsid w:val="00C9113A"/>
    <w:rsid w:val="00C92084"/>
    <w:rsid w:val="00C92725"/>
    <w:rsid w:val="00C938AB"/>
    <w:rsid w:val="00C94BB8"/>
    <w:rsid w:val="00CA0667"/>
    <w:rsid w:val="00CA5D96"/>
    <w:rsid w:val="00CB2833"/>
    <w:rsid w:val="00CC0485"/>
    <w:rsid w:val="00CC0F31"/>
    <w:rsid w:val="00CC47BD"/>
    <w:rsid w:val="00CD1478"/>
    <w:rsid w:val="00CE1A54"/>
    <w:rsid w:val="00CE5871"/>
    <w:rsid w:val="00CF7440"/>
    <w:rsid w:val="00D00B9A"/>
    <w:rsid w:val="00D01DDD"/>
    <w:rsid w:val="00D0347B"/>
    <w:rsid w:val="00D10FDD"/>
    <w:rsid w:val="00D126A0"/>
    <w:rsid w:val="00D1624B"/>
    <w:rsid w:val="00D20410"/>
    <w:rsid w:val="00D32B50"/>
    <w:rsid w:val="00D4115B"/>
    <w:rsid w:val="00D43664"/>
    <w:rsid w:val="00D500A2"/>
    <w:rsid w:val="00D62606"/>
    <w:rsid w:val="00D62771"/>
    <w:rsid w:val="00D6394D"/>
    <w:rsid w:val="00D63A6B"/>
    <w:rsid w:val="00D65765"/>
    <w:rsid w:val="00D7764C"/>
    <w:rsid w:val="00D844D7"/>
    <w:rsid w:val="00D874D9"/>
    <w:rsid w:val="00D93A73"/>
    <w:rsid w:val="00DA18F2"/>
    <w:rsid w:val="00DA67E9"/>
    <w:rsid w:val="00DC0616"/>
    <w:rsid w:val="00DC19D0"/>
    <w:rsid w:val="00DD3F3C"/>
    <w:rsid w:val="00DD7817"/>
    <w:rsid w:val="00DE08D6"/>
    <w:rsid w:val="00DE2CE0"/>
    <w:rsid w:val="00DF1190"/>
    <w:rsid w:val="00DF4C30"/>
    <w:rsid w:val="00DF731D"/>
    <w:rsid w:val="00E0528B"/>
    <w:rsid w:val="00E14F0A"/>
    <w:rsid w:val="00E171C5"/>
    <w:rsid w:val="00E21249"/>
    <w:rsid w:val="00E21647"/>
    <w:rsid w:val="00E21680"/>
    <w:rsid w:val="00E33A94"/>
    <w:rsid w:val="00E33F39"/>
    <w:rsid w:val="00E40E00"/>
    <w:rsid w:val="00E47BE0"/>
    <w:rsid w:val="00E67529"/>
    <w:rsid w:val="00E726D3"/>
    <w:rsid w:val="00E802C5"/>
    <w:rsid w:val="00E80710"/>
    <w:rsid w:val="00E83512"/>
    <w:rsid w:val="00E84F3F"/>
    <w:rsid w:val="00E87BA9"/>
    <w:rsid w:val="00E9481C"/>
    <w:rsid w:val="00EA12B9"/>
    <w:rsid w:val="00EB4FA7"/>
    <w:rsid w:val="00EB68D9"/>
    <w:rsid w:val="00EB6DA8"/>
    <w:rsid w:val="00EC0576"/>
    <w:rsid w:val="00EC0693"/>
    <w:rsid w:val="00EC6C86"/>
    <w:rsid w:val="00ED63B6"/>
    <w:rsid w:val="00EE0D1D"/>
    <w:rsid w:val="00EE4C5E"/>
    <w:rsid w:val="00EF0384"/>
    <w:rsid w:val="00EF264C"/>
    <w:rsid w:val="00EF4593"/>
    <w:rsid w:val="00EF641D"/>
    <w:rsid w:val="00EF665A"/>
    <w:rsid w:val="00EF7471"/>
    <w:rsid w:val="00F045B3"/>
    <w:rsid w:val="00F0731A"/>
    <w:rsid w:val="00F13108"/>
    <w:rsid w:val="00F13F21"/>
    <w:rsid w:val="00F14E57"/>
    <w:rsid w:val="00F16D88"/>
    <w:rsid w:val="00F23EA9"/>
    <w:rsid w:val="00F30363"/>
    <w:rsid w:val="00F35AE7"/>
    <w:rsid w:val="00F35D40"/>
    <w:rsid w:val="00F35F40"/>
    <w:rsid w:val="00F425DF"/>
    <w:rsid w:val="00F427E5"/>
    <w:rsid w:val="00F45946"/>
    <w:rsid w:val="00F45C84"/>
    <w:rsid w:val="00F467B2"/>
    <w:rsid w:val="00F56AC8"/>
    <w:rsid w:val="00F7043F"/>
    <w:rsid w:val="00F72A71"/>
    <w:rsid w:val="00F949EF"/>
    <w:rsid w:val="00F967CA"/>
    <w:rsid w:val="00FA2ECB"/>
    <w:rsid w:val="00FB0F58"/>
    <w:rsid w:val="00FC2486"/>
    <w:rsid w:val="00FC5455"/>
    <w:rsid w:val="00FC6F57"/>
    <w:rsid w:val="00FD33BF"/>
    <w:rsid w:val="00FF1C84"/>
    <w:rsid w:val="00FF2B5B"/>
    <w:rsid w:val="00FF3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5A3F8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2">
    <w:name w:val="heading 2"/>
    <w:basedOn w:val="Normal"/>
    <w:next w:val="Normal"/>
    <w:link w:val="Heading2Char"/>
    <w:qFormat/>
    <w:rsid w:val="007419D3"/>
    <w:pPr>
      <w:jc w:val="center"/>
      <w:outlineLvl w:val="1"/>
    </w:pPr>
    <w:rPr>
      <w:rFonts w:eastAsia="Times New Roman"/>
      <w:b/>
      <w:bCs/>
      <w:color w:val="000000"/>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96F"/>
    <w:rPr>
      <w:color w:val="0000FF" w:themeColor="hyperlink"/>
      <w:u w:val="single"/>
    </w:rPr>
  </w:style>
  <w:style w:type="character" w:customStyle="1" w:styleId="Heading2Char">
    <w:name w:val="Heading 2 Char"/>
    <w:basedOn w:val="DefaultParagraphFont"/>
    <w:link w:val="Heading2"/>
    <w:rsid w:val="007419D3"/>
    <w:rPr>
      <w:rFonts w:eastAsia="Times New Roman"/>
      <w:b/>
      <w:bCs/>
      <w:color w:val="000000"/>
      <w:kern w:val="28"/>
      <w:sz w:val="24"/>
      <w:szCs w:val="24"/>
      <w:lang w:val="en-CA" w:eastAsia="en-CA"/>
    </w:rPr>
  </w:style>
  <w:style w:type="paragraph" w:styleId="Header">
    <w:name w:val="header"/>
    <w:basedOn w:val="Normal"/>
    <w:link w:val="HeaderChar"/>
    <w:rsid w:val="007419D3"/>
    <w:pPr>
      <w:tabs>
        <w:tab w:val="center" w:pos="4320"/>
        <w:tab w:val="right" w:pos="8640"/>
      </w:tabs>
    </w:pPr>
    <w:rPr>
      <w:rFonts w:ascii="Garamond" w:eastAsia="Times New Roman" w:hAnsi="Garamond"/>
      <w:color w:val="008000"/>
      <w:w w:val="120"/>
      <w:lang w:val="en-CA"/>
    </w:rPr>
  </w:style>
  <w:style w:type="character" w:customStyle="1" w:styleId="HeaderChar">
    <w:name w:val="Header Char"/>
    <w:basedOn w:val="DefaultParagraphFont"/>
    <w:link w:val="Header"/>
    <w:rsid w:val="007419D3"/>
    <w:rPr>
      <w:rFonts w:ascii="Garamond" w:eastAsia="Times New Roman" w:hAnsi="Garamond"/>
      <w:color w:val="008000"/>
      <w:w w:val="120"/>
      <w:sz w:val="24"/>
      <w:szCs w:val="24"/>
      <w:lang w:val="en-CA" w:eastAsia="en-US"/>
    </w:rPr>
  </w:style>
  <w:style w:type="table" w:styleId="TableGrid">
    <w:name w:val="Table Grid"/>
    <w:basedOn w:val="TableNormal"/>
    <w:uiPriority w:val="59"/>
    <w:rsid w:val="000672BA"/>
    <w:rPr>
      <w:rFonts w:ascii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672BA"/>
    <w:rPr>
      <w:color w:val="800080" w:themeColor="followedHyperlink"/>
      <w:u w:val="single"/>
    </w:rPr>
  </w:style>
  <w:style w:type="paragraph" w:styleId="ListParagraph">
    <w:name w:val="List Paragraph"/>
    <w:basedOn w:val="Normal"/>
    <w:uiPriority w:val="34"/>
    <w:qFormat/>
    <w:rsid w:val="0086332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B04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04CC"/>
    <w:rPr>
      <w:rFonts w:ascii="Lucida Grande" w:hAnsi="Lucida Grande" w:cs="Lucida Grande"/>
      <w:sz w:val="18"/>
      <w:szCs w:val="18"/>
      <w:lang w:eastAsia="en-US"/>
    </w:rPr>
  </w:style>
  <w:style w:type="character" w:styleId="PageNumber">
    <w:name w:val="page number"/>
    <w:basedOn w:val="DefaultParagraphFont"/>
    <w:uiPriority w:val="99"/>
    <w:semiHidden/>
    <w:unhideWhenUsed/>
    <w:rsid w:val="006D1536"/>
  </w:style>
  <w:style w:type="paragraph" w:styleId="Footer">
    <w:name w:val="footer"/>
    <w:basedOn w:val="Normal"/>
    <w:link w:val="FooterChar"/>
    <w:uiPriority w:val="99"/>
    <w:unhideWhenUsed/>
    <w:rsid w:val="00622F15"/>
    <w:pPr>
      <w:tabs>
        <w:tab w:val="center" w:pos="4320"/>
        <w:tab w:val="right" w:pos="8640"/>
      </w:tabs>
    </w:pPr>
  </w:style>
  <w:style w:type="character" w:customStyle="1" w:styleId="FooterChar">
    <w:name w:val="Footer Char"/>
    <w:basedOn w:val="DefaultParagraphFont"/>
    <w:link w:val="Footer"/>
    <w:uiPriority w:val="99"/>
    <w:rsid w:val="00622F15"/>
    <w:rPr>
      <w:sz w:val="24"/>
      <w:szCs w:val="24"/>
      <w:lang w:eastAsia="en-US"/>
    </w:rPr>
  </w:style>
  <w:style w:type="paragraph" w:styleId="FootnoteText">
    <w:name w:val="footnote text"/>
    <w:basedOn w:val="Normal"/>
    <w:link w:val="FootnoteTextChar"/>
    <w:uiPriority w:val="99"/>
    <w:unhideWhenUsed/>
    <w:rsid w:val="00D20410"/>
  </w:style>
  <w:style w:type="character" w:customStyle="1" w:styleId="FootnoteTextChar">
    <w:name w:val="Footnote Text Char"/>
    <w:basedOn w:val="DefaultParagraphFont"/>
    <w:link w:val="FootnoteText"/>
    <w:uiPriority w:val="99"/>
    <w:rsid w:val="00D20410"/>
    <w:rPr>
      <w:lang w:eastAsia="en-US"/>
    </w:rPr>
  </w:style>
  <w:style w:type="character" w:styleId="FootnoteReference">
    <w:name w:val="footnote reference"/>
    <w:basedOn w:val="DefaultParagraphFont"/>
    <w:uiPriority w:val="99"/>
    <w:unhideWhenUsed/>
    <w:rsid w:val="00D20410"/>
    <w:rPr>
      <w:vertAlign w:val="superscript"/>
    </w:rPr>
  </w:style>
  <w:style w:type="paragraph" w:styleId="NormalWeb">
    <w:name w:val="Normal (Web)"/>
    <w:basedOn w:val="Normal"/>
    <w:uiPriority w:val="99"/>
    <w:semiHidden/>
    <w:unhideWhenUsed/>
    <w:rsid w:val="00B90185"/>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0F7E84"/>
    <w:rPr>
      <w:sz w:val="16"/>
      <w:szCs w:val="16"/>
    </w:rPr>
  </w:style>
  <w:style w:type="paragraph" w:styleId="CommentText">
    <w:name w:val="annotation text"/>
    <w:basedOn w:val="Normal"/>
    <w:link w:val="CommentTextChar"/>
    <w:uiPriority w:val="99"/>
    <w:semiHidden/>
    <w:unhideWhenUsed/>
    <w:rsid w:val="000F7E84"/>
    <w:rPr>
      <w:sz w:val="20"/>
      <w:szCs w:val="20"/>
    </w:rPr>
  </w:style>
  <w:style w:type="character" w:customStyle="1" w:styleId="CommentTextChar">
    <w:name w:val="Comment Text Char"/>
    <w:basedOn w:val="DefaultParagraphFont"/>
    <w:link w:val="CommentText"/>
    <w:uiPriority w:val="99"/>
    <w:semiHidden/>
    <w:rsid w:val="000F7E84"/>
    <w:rPr>
      <w:sz w:val="20"/>
      <w:szCs w:val="20"/>
      <w:lang w:eastAsia="en-US"/>
    </w:rPr>
  </w:style>
  <w:style w:type="paragraph" w:styleId="CommentSubject">
    <w:name w:val="annotation subject"/>
    <w:basedOn w:val="CommentText"/>
    <w:next w:val="CommentText"/>
    <w:link w:val="CommentSubjectChar"/>
    <w:uiPriority w:val="99"/>
    <w:semiHidden/>
    <w:unhideWhenUsed/>
    <w:rsid w:val="000F7E84"/>
    <w:rPr>
      <w:b/>
      <w:bCs/>
    </w:rPr>
  </w:style>
  <w:style w:type="character" w:customStyle="1" w:styleId="CommentSubjectChar">
    <w:name w:val="Comment Subject Char"/>
    <w:basedOn w:val="CommentTextChar"/>
    <w:link w:val="CommentSubject"/>
    <w:uiPriority w:val="99"/>
    <w:semiHidden/>
    <w:rsid w:val="000F7E84"/>
    <w:rPr>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2">
    <w:name w:val="heading 2"/>
    <w:basedOn w:val="Normal"/>
    <w:next w:val="Normal"/>
    <w:link w:val="Heading2Char"/>
    <w:qFormat/>
    <w:rsid w:val="007419D3"/>
    <w:pPr>
      <w:jc w:val="center"/>
      <w:outlineLvl w:val="1"/>
    </w:pPr>
    <w:rPr>
      <w:rFonts w:eastAsia="Times New Roman"/>
      <w:b/>
      <w:bCs/>
      <w:color w:val="000000"/>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96F"/>
    <w:rPr>
      <w:color w:val="0000FF" w:themeColor="hyperlink"/>
      <w:u w:val="single"/>
    </w:rPr>
  </w:style>
  <w:style w:type="character" w:customStyle="1" w:styleId="Heading2Char">
    <w:name w:val="Heading 2 Char"/>
    <w:basedOn w:val="DefaultParagraphFont"/>
    <w:link w:val="Heading2"/>
    <w:rsid w:val="007419D3"/>
    <w:rPr>
      <w:rFonts w:eastAsia="Times New Roman"/>
      <w:b/>
      <w:bCs/>
      <w:color w:val="000000"/>
      <w:kern w:val="28"/>
      <w:sz w:val="24"/>
      <w:szCs w:val="24"/>
      <w:lang w:val="en-CA" w:eastAsia="en-CA"/>
    </w:rPr>
  </w:style>
  <w:style w:type="paragraph" w:styleId="Header">
    <w:name w:val="header"/>
    <w:basedOn w:val="Normal"/>
    <w:link w:val="HeaderChar"/>
    <w:rsid w:val="007419D3"/>
    <w:pPr>
      <w:tabs>
        <w:tab w:val="center" w:pos="4320"/>
        <w:tab w:val="right" w:pos="8640"/>
      </w:tabs>
    </w:pPr>
    <w:rPr>
      <w:rFonts w:ascii="Garamond" w:eastAsia="Times New Roman" w:hAnsi="Garamond"/>
      <w:color w:val="008000"/>
      <w:w w:val="120"/>
      <w:lang w:val="en-CA"/>
    </w:rPr>
  </w:style>
  <w:style w:type="character" w:customStyle="1" w:styleId="HeaderChar">
    <w:name w:val="Header Char"/>
    <w:basedOn w:val="DefaultParagraphFont"/>
    <w:link w:val="Header"/>
    <w:rsid w:val="007419D3"/>
    <w:rPr>
      <w:rFonts w:ascii="Garamond" w:eastAsia="Times New Roman" w:hAnsi="Garamond"/>
      <w:color w:val="008000"/>
      <w:w w:val="120"/>
      <w:sz w:val="24"/>
      <w:szCs w:val="24"/>
      <w:lang w:val="en-CA" w:eastAsia="en-US"/>
    </w:rPr>
  </w:style>
  <w:style w:type="table" w:styleId="TableGrid">
    <w:name w:val="Table Grid"/>
    <w:basedOn w:val="TableNormal"/>
    <w:uiPriority w:val="59"/>
    <w:rsid w:val="000672BA"/>
    <w:rPr>
      <w:rFonts w:ascii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672BA"/>
    <w:rPr>
      <w:color w:val="800080" w:themeColor="followedHyperlink"/>
      <w:u w:val="single"/>
    </w:rPr>
  </w:style>
  <w:style w:type="paragraph" w:styleId="ListParagraph">
    <w:name w:val="List Paragraph"/>
    <w:basedOn w:val="Normal"/>
    <w:uiPriority w:val="34"/>
    <w:qFormat/>
    <w:rsid w:val="0086332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B04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04CC"/>
    <w:rPr>
      <w:rFonts w:ascii="Lucida Grande" w:hAnsi="Lucida Grande" w:cs="Lucida Grande"/>
      <w:sz w:val="18"/>
      <w:szCs w:val="18"/>
      <w:lang w:eastAsia="en-US"/>
    </w:rPr>
  </w:style>
  <w:style w:type="character" w:styleId="PageNumber">
    <w:name w:val="page number"/>
    <w:basedOn w:val="DefaultParagraphFont"/>
    <w:uiPriority w:val="99"/>
    <w:semiHidden/>
    <w:unhideWhenUsed/>
    <w:rsid w:val="006D1536"/>
  </w:style>
  <w:style w:type="paragraph" w:styleId="Footer">
    <w:name w:val="footer"/>
    <w:basedOn w:val="Normal"/>
    <w:link w:val="FooterChar"/>
    <w:uiPriority w:val="99"/>
    <w:unhideWhenUsed/>
    <w:rsid w:val="00622F15"/>
    <w:pPr>
      <w:tabs>
        <w:tab w:val="center" w:pos="4320"/>
        <w:tab w:val="right" w:pos="8640"/>
      </w:tabs>
    </w:pPr>
  </w:style>
  <w:style w:type="character" w:customStyle="1" w:styleId="FooterChar">
    <w:name w:val="Footer Char"/>
    <w:basedOn w:val="DefaultParagraphFont"/>
    <w:link w:val="Footer"/>
    <w:uiPriority w:val="99"/>
    <w:rsid w:val="00622F15"/>
    <w:rPr>
      <w:sz w:val="24"/>
      <w:szCs w:val="24"/>
      <w:lang w:eastAsia="en-US"/>
    </w:rPr>
  </w:style>
  <w:style w:type="paragraph" w:styleId="FootnoteText">
    <w:name w:val="footnote text"/>
    <w:basedOn w:val="Normal"/>
    <w:link w:val="FootnoteTextChar"/>
    <w:uiPriority w:val="99"/>
    <w:unhideWhenUsed/>
    <w:rsid w:val="00D20410"/>
  </w:style>
  <w:style w:type="character" w:customStyle="1" w:styleId="FootnoteTextChar">
    <w:name w:val="Footnote Text Char"/>
    <w:basedOn w:val="DefaultParagraphFont"/>
    <w:link w:val="FootnoteText"/>
    <w:uiPriority w:val="99"/>
    <w:rsid w:val="00D20410"/>
    <w:rPr>
      <w:lang w:eastAsia="en-US"/>
    </w:rPr>
  </w:style>
  <w:style w:type="character" w:styleId="FootnoteReference">
    <w:name w:val="footnote reference"/>
    <w:basedOn w:val="DefaultParagraphFont"/>
    <w:uiPriority w:val="99"/>
    <w:unhideWhenUsed/>
    <w:rsid w:val="00D20410"/>
    <w:rPr>
      <w:vertAlign w:val="superscript"/>
    </w:rPr>
  </w:style>
  <w:style w:type="paragraph" w:styleId="NormalWeb">
    <w:name w:val="Normal (Web)"/>
    <w:basedOn w:val="Normal"/>
    <w:uiPriority w:val="99"/>
    <w:semiHidden/>
    <w:unhideWhenUsed/>
    <w:rsid w:val="00B90185"/>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0F7E84"/>
    <w:rPr>
      <w:sz w:val="16"/>
      <w:szCs w:val="16"/>
    </w:rPr>
  </w:style>
  <w:style w:type="paragraph" w:styleId="CommentText">
    <w:name w:val="annotation text"/>
    <w:basedOn w:val="Normal"/>
    <w:link w:val="CommentTextChar"/>
    <w:uiPriority w:val="99"/>
    <w:semiHidden/>
    <w:unhideWhenUsed/>
    <w:rsid w:val="000F7E84"/>
    <w:rPr>
      <w:sz w:val="20"/>
      <w:szCs w:val="20"/>
    </w:rPr>
  </w:style>
  <w:style w:type="character" w:customStyle="1" w:styleId="CommentTextChar">
    <w:name w:val="Comment Text Char"/>
    <w:basedOn w:val="DefaultParagraphFont"/>
    <w:link w:val="CommentText"/>
    <w:uiPriority w:val="99"/>
    <w:semiHidden/>
    <w:rsid w:val="000F7E84"/>
    <w:rPr>
      <w:sz w:val="20"/>
      <w:szCs w:val="20"/>
      <w:lang w:eastAsia="en-US"/>
    </w:rPr>
  </w:style>
  <w:style w:type="paragraph" w:styleId="CommentSubject">
    <w:name w:val="annotation subject"/>
    <w:basedOn w:val="CommentText"/>
    <w:next w:val="CommentText"/>
    <w:link w:val="CommentSubjectChar"/>
    <w:uiPriority w:val="99"/>
    <w:semiHidden/>
    <w:unhideWhenUsed/>
    <w:rsid w:val="000F7E84"/>
    <w:rPr>
      <w:b/>
      <w:bCs/>
    </w:rPr>
  </w:style>
  <w:style w:type="character" w:customStyle="1" w:styleId="CommentSubjectChar">
    <w:name w:val="Comment Subject Char"/>
    <w:basedOn w:val="CommentTextChar"/>
    <w:link w:val="CommentSubject"/>
    <w:uiPriority w:val="99"/>
    <w:semiHidden/>
    <w:rsid w:val="000F7E84"/>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1328</Words>
  <Characters>7575</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Larach</dc:creator>
  <cp:keywords/>
  <dc:description/>
  <cp:lastModifiedBy>Marilyn Larach</cp:lastModifiedBy>
  <cp:revision>2</cp:revision>
  <cp:lastPrinted>2018-03-04T16:39:00Z</cp:lastPrinted>
  <dcterms:created xsi:type="dcterms:W3CDTF">2018-09-24T15:12:00Z</dcterms:created>
  <dcterms:modified xsi:type="dcterms:W3CDTF">2018-09-24T15:12:00Z</dcterms:modified>
</cp:coreProperties>
</file>