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6154" w14:textId="6972146B" w:rsidR="00241AEA" w:rsidRPr="00930DCB" w:rsidRDefault="00930DCB" w:rsidP="009B2E70">
      <w:pPr>
        <w:rPr>
          <w:b/>
          <w:sz w:val="28"/>
          <w:szCs w:val="28"/>
        </w:rPr>
      </w:pPr>
      <w:proofErr w:type="gramStart"/>
      <w:r w:rsidRPr="00930DCB">
        <w:rPr>
          <w:b/>
          <w:sz w:val="28"/>
          <w:szCs w:val="28"/>
        </w:rPr>
        <w:t xml:space="preserve">Supplemental Digital File </w:t>
      </w:r>
      <w:r w:rsidR="00CF5137" w:rsidRPr="000C20D8">
        <w:rPr>
          <w:b/>
          <w:sz w:val="28"/>
          <w:szCs w:val="28"/>
        </w:rPr>
        <w:t>9</w:t>
      </w:r>
      <w:r w:rsidRPr="000C20D8">
        <w:rPr>
          <w:b/>
          <w:sz w:val="28"/>
          <w:szCs w:val="28"/>
        </w:rPr>
        <w:t>.</w:t>
      </w:r>
      <w:proofErr w:type="gramEnd"/>
      <w:r w:rsidRPr="000C20D8">
        <w:rPr>
          <w:b/>
          <w:sz w:val="28"/>
          <w:szCs w:val="28"/>
        </w:rPr>
        <w:t xml:space="preserve">  </w:t>
      </w:r>
      <w:r w:rsidR="00CF5137" w:rsidRPr="000C20D8">
        <w:rPr>
          <w:b/>
          <w:sz w:val="28"/>
          <w:szCs w:val="28"/>
        </w:rPr>
        <w:t>Question 3b, (</w:t>
      </w:r>
      <w:r w:rsidRPr="000C20D8">
        <w:rPr>
          <w:b/>
          <w:sz w:val="28"/>
          <w:szCs w:val="28"/>
        </w:rPr>
        <w:t>Query 8</w:t>
      </w:r>
      <w:r w:rsidR="00CF5137" w:rsidRPr="000C20D8">
        <w:rPr>
          <w:b/>
          <w:sz w:val="28"/>
          <w:szCs w:val="28"/>
        </w:rPr>
        <w:t>)</w:t>
      </w:r>
      <w:r w:rsidRPr="000C20D8">
        <w:rPr>
          <w:b/>
          <w:sz w:val="28"/>
          <w:szCs w:val="28"/>
        </w:rPr>
        <w:t>:</w:t>
      </w:r>
      <w:r w:rsidRPr="00930DCB">
        <w:rPr>
          <w:b/>
          <w:sz w:val="28"/>
          <w:szCs w:val="28"/>
        </w:rPr>
        <w:t xml:space="preserve">  </w:t>
      </w:r>
      <w:r w:rsidR="00C938AB" w:rsidRPr="00930DCB">
        <w:rPr>
          <w:b/>
          <w:sz w:val="28"/>
          <w:szCs w:val="28"/>
        </w:rPr>
        <w:t xml:space="preserve">What is the impact of </w:t>
      </w:r>
      <w:proofErr w:type="spellStart"/>
      <w:r w:rsidR="00C938AB" w:rsidRPr="00930DCB">
        <w:rPr>
          <w:b/>
          <w:sz w:val="28"/>
          <w:szCs w:val="28"/>
        </w:rPr>
        <w:t>dantrolene</w:t>
      </w:r>
      <w:proofErr w:type="spellEnd"/>
      <w:r w:rsidR="00C938AB" w:rsidRPr="00930DCB">
        <w:rPr>
          <w:b/>
          <w:sz w:val="28"/>
          <w:szCs w:val="28"/>
        </w:rPr>
        <w:t xml:space="preserve"> administration on </w:t>
      </w:r>
      <w:r w:rsidR="00ED5866">
        <w:rPr>
          <w:b/>
          <w:sz w:val="28"/>
          <w:szCs w:val="28"/>
        </w:rPr>
        <w:t>malignant hyperthermia (</w:t>
      </w:r>
      <w:r w:rsidR="00C938AB" w:rsidRPr="00930DCB">
        <w:rPr>
          <w:b/>
          <w:sz w:val="28"/>
          <w:szCs w:val="28"/>
        </w:rPr>
        <w:t>MH</w:t>
      </w:r>
      <w:r w:rsidR="00ED5866">
        <w:rPr>
          <w:b/>
          <w:sz w:val="28"/>
          <w:szCs w:val="28"/>
        </w:rPr>
        <w:t>)</w:t>
      </w:r>
      <w:r w:rsidR="00C938AB" w:rsidRPr="00930DCB">
        <w:rPr>
          <w:b/>
          <w:sz w:val="28"/>
          <w:szCs w:val="28"/>
        </w:rPr>
        <w:t xml:space="preserve"> mortality</w:t>
      </w:r>
      <w:r w:rsidR="00C33C92">
        <w:rPr>
          <w:b/>
          <w:sz w:val="28"/>
          <w:szCs w:val="28"/>
        </w:rPr>
        <w:t xml:space="preserve"> in the US and Canada</w:t>
      </w:r>
      <w:r w:rsidR="00C938AB" w:rsidRPr="00930DCB">
        <w:rPr>
          <w:b/>
          <w:sz w:val="28"/>
          <w:szCs w:val="28"/>
        </w:rPr>
        <w:t xml:space="preserve">?  Does the time of </w:t>
      </w:r>
      <w:proofErr w:type="spellStart"/>
      <w:r w:rsidR="00C938AB" w:rsidRPr="00930DCB">
        <w:rPr>
          <w:b/>
          <w:sz w:val="28"/>
          <w:szCs w:val="28"/>
        </w:rPr>
        <w:t>dantrolene</w:t>
      </w:r>
      <w:proofErr w:type="spellEnd"/>
      <w:r w:rsidR="00C938AB" w:rsidRPr="00930DCB">
        <w:rPr>
          <w:b/>
          <w:sz w:val="28"/>
          <w:szCs w:val="28"/>
        </w:rPr>
        <w:t xml:space="preserve"> </w:t>
      </w:r>
      <w:r w:rsidRPr="00930DCB">
        <w:rPr>
          <w:b/>
          <w:sz w:val="28"/>
          <w:szCs w:val="28"/>
        </w:rPr>
        <w:t xml:space="preserve">or initial dosage </w:t>
      </w:r>
      <w:r w:rsidR="00C938AB" w:rsidRPr="00930DCB">
        <w:rPr>
          <w:b/>
          <w:sz w:val="28"/>
          <w:szCs w:val="28"/>
        </w:rPr>
        <w:t>affect the likelihood of MH mortality</w:t>
      </w:r>
      <w:r w:rsidR="00C33C92">
        <w:rPr>
          <w:b/>
          <w:sz w:val="28"/>
          <w:szCs w:val="28"/>
        </w:rPr>
        <w:t xml:space="preserve"> in the US and Canada</w:t>
      </w:r>
      <w:r w:rsidR="00C938AB" w:rsidRPr="00930DCB">
        <w:rPr>
          <w:b/>
          <w:sz w:val="28"/>
          <w:szCs w:val="28"/>
        </w:rPr>
        <w:t xml:space="preserve">? </w:t>
      </w:r>
    </w:p>
    <w:p w14:paraId="4305B6E8" w14:textId="77777777" w:rsidR="00B90185" w:rsidRPr="00930DCB" w:rsidRDefault="00B90185">
      <w:pPr>
        <w:rPr>
          <w:i/>
        </w:rPr>
      </w:pPr>
      <w:r w:rsidRPr="00930DCB">
        <w:rPr>
          <w:i/>
        </w:rPr>
        <w:br w:type="page"/>
      </w:r>
      <w:r w:rsidR="00221D6D">
        <w:rPr>
          <w:i/>
          <w:noProof/>
        </w:rPr>
        <w:lastRenderedPageBreak/>
        <w:drawing>
          <wp:inline distT="0" distB="0" distL="0" distR="0" wp14:anchorId="39710D61" wp14:editId="411B0F57">
            <wp:extent cx="8229600" cy="52031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D6D" w:rsidRPr="00221D6D">
        <w:t xml:space="preserve"> </w:t>
      </w:r>
    </w:p>
    <w:p w14:paraId="4D46CD47" w14:textId="77777777" w:rsidR="007A4E85" w:rsidRPr="00930DCB" w:rsidRDefault="007A4E85">
      <w:pPr>
        <w:rPr>
          <w:i/>
          <w:iCs/>
          <w:color w:val="1F497D" w:themeColor="text2"/>
        </w:rPr>
      </w:pPr>
    </w:p>
    <w:p w14:paraId="303E0552" w14:textId="77777777" w:rsidR="00977DDB" w:rsidRPr="00930DCB" w:rsidRDefault="00977DDB" w:rsidP="00222273"/>
    <w:p w14:paraId="565EDD2D" w14:textId="7A8F075F" w:rsidR="00084773" w:rsidRPr="00930DCB" w:rsidRDefault="00C530F3">
      <w:pPr>
        <w:rPr>
          <w:iCs/>
        </w:rPr>
      </w:pPr>
      <w:r w:rsidRPr="00982F7E">
        <w:rPr>
          <w:b/>
        </w:rPr>
        <w:t>Summary:</w:t>
      </w:r>
      <w:r w:rsidRPr="00930DCB">
        <w:t xml:space="preserve"> A total of 5 references (all </w:t>
      </w:r>
      <w:r w:rsidR="00ED5866">
        <w:t xml:space="preserve">Oxford Centre for Evidence-based Medicine </w:t>
      </w:r>
      <w:r w:rsidRPr="00930DCB">
        <w:t xml:space="preserve">level </w:t>
      </w:r>
      <w:r w:rsidR="00930DCB" w:rsidRPr="00930DCB">
        <w:t xml:space="preserve">3 or </w:t>
      </w:r>
      <w:r w:rsidRPr="00930DCB">
        <w:t xml:space="preserve">4) were identified with </w:t>
      </w:r>
      <w:r w:rsidR="00163FE6" w:rsidRPr="00930DCB">
        <w:t xml:space="preserve">the prospective </w:t>
      </w:r>
      <w:r w:rsidR="005C0CBF" w:rsidRPr="00930DCB">
        <w:t xml:space="preserve">Kolb </w:t>
      </w:r>
      <w:r w:rsidR="005C0CBF" w:rsidRPr="00930DCB">
        <w:rPr>
          <w:i/>
        </w:rPr>
        <w:t>et al.</w:t>
      </w:r>
      <w:r w:rsidR="005C0CBF" w:rsidRPr="00930DCB">
        <w:t xml:space="preserve"> </w:t>
      </w:r>
      <w:r w:rsidR="00163FE6" w:rsidRPr="00930DCB">
        <w:t xml:space="preserve">study </w:t>
      </w:r>
      <w:r w:rsidR="00930DCB" w:rsidRPr="00930DCB">
        <w:t xml:space="preserve">(reference 1) </w:t>
      </w:r>
      <w:r w:rsidRPr="00930DCB">
        <w:t xml:space="preserve">demonstrating that timely administration of </w:t>
      </w:r>
      <w:proofErr w:type="spellStart"/>
      <w:r w:rsidRPr="00930DCB">
        <w:t>dantrolene</w:t>
      </w:r>
      <w:proofErr w:type="spellEnd"/>
      <w:r w:rsidRPr="00930DCB">
        <w:t xml:space="preserve"> (no more than 6 hours after the initial MH sign) decreased mortality from 75% to 0%.  This was </w:t>
      </w:r>
      <w:r w:rsidR="00163FE6" w:rsidRPr="00930DCB">
        <w:t>a highly significant result in a</w:t>
      </w:r>
      <w:r w:rsidRPr="00930DCB">
        <w:t xml:space="preserve"> small</w:t>
      </w:r>
      <w:r w:rsidR="00BB253F" w:rsidRPr="00930DCB">
        <w:t>,</w:t>
      </w:r>
      <w:r w:rsidRPr="00930DCB">
        <w:t xml:space="preserve"> </w:t>
      </w:r>
      <w:proofErr w:type="spellStart"/>
      <w:r w:rsidRPr="00930DCB">
        <w:t>unblinded</w:t>
      </w:r>
      <w:proofErr w:type="spellEnd"/>
      <w:r w:rsidRPr="00930DCB">
        <w:t xml:space="preserve"> prospective study that provided the evidence for F</w:t>
      </w:r>
      <w:r w:rsidR="00930DCB" w:rsidRPr="00930DCB">
        <w:t xml:space="preserve">DA approval for the use of </w:t>
      </w:r>
      <w:r w:rsidR="00ED5866">
        <w:t>intravenous (</w:t>
      </w:r>
      <w:r w:rsidR="00ED5866" w:rsidRPr="00ED5866">
        <w:rPr>
          <w:b/>
        </w:rPr>
        <w:t>iv</w:t>
      </w:r>
      <w:r w:rsidR="00ED5866">
        <w:t xml:space="preserve">) </w:t>
      </w:r>
      <w:proofErr w:type="spellStart"/>
      <w:r w:rsidRPr="00930DCB">
        <w:t>dantrolene</w:t>
      </w:r>
      <w:proofErr w:type="spellEnd"/>
      <w:r w:rsidRPr="00930DCB">
        <w:t xml:space="preserve"> to treat MH.  </w:t>
      </w:r>
      <w:r w:rsidR="002B3EB8" w:rsidRPr="00930DCB">
        <w:t xml:space="preserve">Subsequent retrospective </w:t>
      </w:r>
      <w:r w:rsidR="00ED5866">
        <w:t>North American Malignant Hyperthermia Registry of the Malignant Hyperthermia Association of the United States (</w:t>
      </w:r>
      <w:r w:rsidR="00930DCB" w:rsidRPr="00ED5866">
        <w:rPr>
          <w:b/>
        </w:rPr>
        <w:t>NAMH</w:t>
      </w:r>
      <w:r w:rsidR="002B3EB8" w:rsidRPr="00ED5866">
        <w:rPr>
          <w:b/>
        </w:rPr>
        <w:t>R</w:t>
      </w:r>
      <w:r w:rsidR="00ED5866">
        <w:t>)</w:t>
      </w:r>
      <w:r w:rsidR="002B3EB8" w:rsidRPr="00930DCB">
        <w:t xml:space="preserve"> studies </w:t>
      </w:r>
      <w:r w:rsidR="005C0CBF" w:rsidRPr="00930DCB">
        <w:t xml:space="preserve">for the reporting period of 1987 through 2012 </w:t>
      </w:r>
      <w:r w:rsidR="002B3EB8" w:rsidRPr="00930DCB">
        <w:t>show</w:t>
      </w:r>
      <w:r w:rsidR="00163FE6" w:rsidRPr="00930DCB">
        <w:t>ed</w:t>
      </w:r>
      <w:r w:rsidR="002B3EB8" w:rsidRPr="00930DCB">
        <w:t xml:space="preserve"> that init</w:t>
      </w:r>
      <w:r w:rsidR="00163FE6" w:rsidRPr="00930DCB">
        <w:t xml:space="preserve">ial </w:t>
      </w:r>
      <w:proofErr w:type="spellStart"/>
      <w:r w:rsidR="00163FE6" w:rsidRPr="00930DCB">
        <w:t>dantrolene</w:t>
      </w:r>
      <w:proofErr w:type="spellEnd"/>
      <w:r w:rsidR="00163FE6" w:rsidRPr="00930DCB">
        <w:t xml:space="preserve"> (mg/kg) doses did</w:t>
      </w:r>
      <w:r w:rsidR="002B3EB8" w:rsidRPr="00930DCB">
        <w:t xml:space="preserve"> not differ between those who died of MH and</w:t>
      </w:r>
      <w:r w:rsidR="00163FE6" w:rsidRPr="00930DCB">
        <w:t xml:space="preserve"> those who did </w:t>
      </w:r>
      <w:r w:rsidR="002B3EB8" w:rsidRPr="00930DCB">
        <w:t>not</w:t>
      </w:r>
      <w:r w:rsidR="005C0CBF" w:rsidRPr="00930DCB">
        <w:t>.   T</w:t>
      </w:r>
      <w:r w:rsidR="002B3EB8" w:rsidRPr="00930DCB">
        <w:t xml:space="preserve">he time </w:t>
      </w:r>
      <w:r w:rsidR="00163FE6" w:rsidRPr="00930DCB">
        <w:t xml:space="preserve">intervals </w:t>
      </w:r>
      <w:r w:rsidR="002B3EB8" w:rsidRPr="00930DCB">
        <w:t>between 1</w:t>
      </w:r>
      <w:r w:rsidR="002B3EB8" w:rsidRPr="00930DCB">
        <w:rPr>
          <w:vertAlign w:val="superscript"/>
        </w:rPr>
        <w:t>st</w:t>
      </w:r>
      <w:r w:rsidR="002B3EB8" w:rsidRPr="00930DCB">
        <w:t xml:space="preserve"> sign of MH and the 1</w:t>
      </w:r>
      <w:r w:rsidR="002B3EB8" w:rsidRPr="00930DCB">
        <w:rPr>
          <w:vertAlign w:val="superscript"/>
        </w:rPr>
        <w:t>st</w:t>
      </w:r>
      <w:r w:rsidR="002B3EB8" w:rsidRPr="00930DCB">
        <w:t xml:space="preserve"> </w:t>
      </w:r>
      <w:proofErr w:type="spellStart"/>
      <w:r w:rsidR="002B3EB8" w:rsidRPr="00930DCB">
        <w:t>dantrolene</w:t>
      </w:r>
      <w:proofErr w:type="spellEnd"/>
      <w:r w:rsidR="002B3EB8" w:rsidRPr="00930DCB">
        <w:t xml:space="preserve"> administration </w:t>
      </w:r>
      <w:r w:rsidR="005C0CBF" w:rsidRPr="00930DCB">
        <w:t xml:space="preserve">also did not </w:t>
      </w:r>
      <w:r w:rsidR="002B3EB8" w:rsidRPr="00930DCB">
        <w:t xml:space="preserve">differ between these two groups.  </w:t>
      </w:r>
      <w:r w:rsidR="00222273" w:rsidRPr="00930DCB">
        <w:t xml:space="preserve">Because of the low number of reported patient deaths in reference #5, the power to detect a difference in the timing of the administration of </w:t>
      </w:r>
      <w:proofErr w:type="spellStart"/>
      <w:r w:rsidR="00222273" w:rsidRPr="00930DCB">
        <w:t>dantrolene</w:t>
      </w:r>
      <w:proofErr w:type="spellEnd"/>
      <w:r w:rsidR="00222273" w:rsidRPr="00930DCB">
        <w:t xml:space="preserve"> was very low (only 18%).  </w:t>
      </w:r>
      <w:r w:rsidR="002B3EB8" w:rsidRPr="00930DCB">
        <w:t xml:space="preserve">However, </w:t>
      </w:r>
      <w:r w:rsidR="005C0CBF" w:rsidRPr="00930DCB">
        <w:t xml:space="preserve">in an initial </w:t>
      </w:r>
      <w:r w:rsidR="00ED5866">
        <w:t xml:space="preserve">NAMHR </w:t>
      </w:r>
      <w:r w:rsidR="005C0CBF" w:rsidRPr="00930DCB">
        <w:t>study with only 4 deaths</w:t>
      </w:r>
      <w:r w:rsidR="00163FE6" w:rsidRPr="00930DCB">
        <w:t xml:space="preserve">, </w:t>
      </w:r>
      <w:r w:rsidR="002B3EB8" w:rsidRPr="00930DCB">
        <w:t xml:space="preserve">the total </w:t>
      </w:r>
      <w:proofErr w:type="spellStart"/>
      <w:r w:rsidR="002B3EB8" w:rsidRPr="00930DCB">
        <w:t>dantrolene</w:t>
      </w:r>
      <w:proofErr w:type="spellEnd"/>
      <w:r w:rsidR="002B3EB8" w:rsidRPr="00930DCB">
        <w:t xml:space="preserve"> dose (mg/kg) was higher in those who died of MH when compared to those who did not.</w:t>
      </w:r>
      <w:r w:rsidR="00ED5866">
        <w:t xml:space="preserve"> </w:t>
      </w:r>
      <w:proofErr w:type="gramStart"/>
      <w:r w:rsidR="00441664" w:rsidRPr="00930DCB">
        <w:t xml:space="preserve">The </w:t>
      </w:r>
      <w:r w:rsidR="00ED5866">
        <w:t xml:space="preserve">NAMHR </w:t>
      </w:r>
      <w:r w:rsidR="00BB253F" w:rsidRPr="00930DCB">
        <w:t>studies may have been limited by</w:t>
      </w:r>
      <w:r w:rsidR="00441664" w:rsidRPr="00930DCB">
        <w:t xml:space="preserve"> possible selection b</w:t>
      </w:r>
      <w:r w:rsidR="00BB253F" w:rsidRPr="00930DCB">
        <w:t>ias, reporting, and recall bias</w:t>
      </w:r>
      <w:proofErr w:type="gramEnd"/>
      <w:r w:rsidR="00BB253F" w:rsidRPr="00930DCB">
        <w:t xml:space="preserve">.  Further, those who experienced an MH death were not able to </w:t>
      </w:r>
      <w:r w:rsidR="00441664" w:rsidRPr="00930DCB">
        <w:t>undergo MH diagnostic muscle biopsies</w:t>
      </w:r>
      <w:r w:rsidR="00441664" w:rsidRPr="00930DCB">
        <w:rPr>
          <w:i/>
          <w:iCs/>
        </w:rPr>
        <w:t>.</w:t>
      </w:r>
      <w:r w:rsidR="00BB253F" w:rsidRPr="00930DCB">
        <w:rPr>
          <w:i/>
          <w:iCs/>
        </w:rPr>
        <w:t xml:space="preserve"> </w:t>
      </w:r>
      <w:r w:rsidR="00BB253F" w:rsidRPr="00930DCB">
        <w:rPr>
          <w:iCs/>
        </w:rPr>
        <w:t xml:space="preserve"> </w:t>
      </w:r>
      <w:r w:rsidR="004E42D5" w:rsidRPr="00930DCB">
        <w:rPr>
          <w:iCs/>
        </w:rPr>
        <w:t xml:space="preserve">However, for reference # 5, of the 8 patients </w:t>
      </w:r>
      <w:r w:rsidR="00EF264C" w:rsidRPr="00930DCB">
        <w:rPr>
          <w:iCs/>
        </w:rPr>
        <w:t>who died, 6 were genotyped and 4</w:t>
      </w:r>
      <w:r w:rsidR="004E42D5" w:rsidRPr="00930DCB">
        <w:rPr>
          <w:iCs/>
        </w:rPr>
        <w:t xml:space="preserve">/6 were confirmed to have had MH causative RYR1 mutations. </w:t>
      </w:r>
      <w:r w:rsidR="00EF264C" w:rsidRPr="00930DCB">
        <w:rPr>
          <w:iCs/>
        </w:rPr>
        <w:t>2/6 had RYR1 variants of unknown significance.</w:t>
      </w:r>
      <w:bookmarkStart w:id="0" w:name="_GoBack"/>
      <w:bookmarkEnd w:id="0"/>
    </w:p>
    <w:p w14:paraId="1057DEA4" w14:textId="77777777" w:rsidR="00084773" w:rsidRPr="00930DCB" w:rsidRDefault="00084773"/>
    <w:tbl>
      <w:tblPr>
        <w:tblStyle w:val="TableGrid"/>
        <w:tblW w:w="12888" w:type="dxa"/>
        <w:tblLayout w:type="fixed"/>
        <w:tblLook w:val="04A0" w:firstRow="1" w:lastRow="0" w:firstColumn="1" w:lastColumn="0" w:noHBand="0" w:noVBand="1"/>
      </w:tblPr>
      <w:tblGrid>
        <w:gridCol w:w="2448"/>
        <w:gridCol w:w="1620"/>
        <w:gridCol w:w="1890"/>
        <w:gridCol w:w="1620"/>
        <w:gridCol w:w="1170"/>
        <w:gridCol w:w="1260"/>
        <w:gridCol w:w="2880"/>
      </w:tblGrid>
      <w:tr w:rsidR="00084773" w:rsidRPr="00930DCB" w14:paraId="4B1D6551" w14:textId="77777777" w:rsidTr="00763845">
        <w:tc>
          <w:tcPr>
            <w:tcW w:w="2448" w:type="dxa"/>
          </w:tcPr>
          <w:p w14:paraId="16050482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Article Identifier</w:t>
            </w:r>
          </w:p>
        </w:tc>
        <w:tc>
          <w:tcPr>
            <w:tcW w:w="1620" w:type="dxa"/>
          </w:tcPr>
          <w:p w14:paraId="598ABB4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Mortality</w:t>
            </w:r>
          </w:p>
          <w:p w14:paraId="3A3F7AA5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14:paraId="3050DC57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</w:p>
        </w:tc>
        <w:tc>
          <w:tcPr>
            <w:tcW w:w="1620" w:type="dxa"/>
          </w:tcPr>
          <w:p w14:paraId="2921CBA0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Classification of MH Event</w:t>
            </w:r>
          </w:p>
        </w:tc>
        <w:tc>
          <w:tcPr>
            <w:tcW w:w="1170" w:type="dxa"/>
          </w:tcPr>
          <w:p w14:paraId="108D80AF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Level</w:t>
            </w:r>
          </w:p>
          <w:p w14:paraId="1F8E7EF6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proofErr w:type="gramStart"/>
            <w:r w:rsidRPr="00930DCB">
              <w:rPr>
                <w:rFonts w:ascii="Times New Roman" w:hAnsi="Times New Roman" w:cs="Times New Roman"/>
              </w:rPr>
              <w:t>of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Evidence</w:t>
            </w:r>
          </w:p>
        </w:tc>
        <w:tc>
          <w:tcPr>
            <w:tcW w:w="1260" w:type="dxa"/>
          </w:tcPr>
          <w:p w14:paraId="38A95E7D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Bias</w:t>
            </w:r>
          </w:p>
        </w:tc>
        <w:tc>
          <w:tcPr>
            <w:tcW w:w="2880" w:type="dxa"/>
          </w:tcPr>
          <w:p w14:paraId="549AA0F3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Other Comments</w:t>
            </w:r>
          </w:p>
        </w:tc>
      </w:tr>
      <w:tr w:rsidR="00084773" w:rsidRPr="00930DCB" w14:paraId="5612A365" w14:textId="77777777" w:rsidTr="00763845">
        <w:tc>
          <w:tcPr>
            <w:tcW w:w="2448" w:type="dxa"/>
          </w:tcPr>
          <w:p w14:paraId="6576A36E" w14:textId="4FCD9E58" w:rsidR="00084773" w:rsidRPr="00BB7855" w:rsidRDefault="00110A93" w:rsidP="0008477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Kolb ME, </w:t>
            </w:r>
            <w:r w:rsidR="00084773" w:rsidRPr="00930DCB">
              <w:rPr>
                <w:rFonts w:ascii="Times New Roman" w:hAnsi="Times New Roman" w:cs="Times New Roman"/>
                <w:color w:val="000000"/>
              </w:rPr>
              <w:t>Horne ML, Martz 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Dantrolene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in human malignant hyperthermia.</w:t>
            </w:r>
            <w:r w:rsidR="00BB78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4773" w:rsidRPr="00BB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Anesthesiology1982</w:t>
            </w:r>
            <w:r w:rsidRPr="00BB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56:254-62</w:t>
            </w:r>
            <w:r w:rsidR="00084773" w:rsidRPr="00BB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689319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DDFDB48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Death or survival were endpoints; Table 1 lists equivocal MH cases; Table 2 lists probable MH cases; </w:t>
            </w:r>
          </w:p>
          <w:p w14:paraId="7FEC31A5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One patient in probable MH appears to be equivocal but not sure when </w:t>
            </w:r>
            <w:proofErr w:type="spellStart"/>
            <w:r w:rsidRPr="00930DCB">
              <w:rPr>
                <w:rFonts w:ascii="Times New Roman" w:hAnsi="Times New Roman" w:cs="Times New Roman"/>
              </w:rPr>
              <w:lastRenderedPageBreak/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given; this patient died. </w:t>
            </w:r>
          </w:p>
          <w:p w14:paraId="233974A3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6E3C680E" w14:textId="1B964CF6" w:rsidR="00084773" w:rsidRPr="00930DCB" w:rsidRDefault="00930DCB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Mortality with delayed (&gt;24 h</w:t>
            </w:r>
            <w:r w:rsidR="00ED5866">
              <w:rPr>
                <w:rFonts w:ascii="Times New Roman" w:hAnsi="Times New Roman" w:cs="Times New Roman"/>
              </w:rPr>
              <w:t xml:space="preserve">) administration of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75%</w:t>
            </w:r>
            <w:proofErr w:type="gramStart"/>
            <w:r w:rsidR="00084773" w:rsidRPr="00930DCB">
              <w:rPr>
                <w:rFonts w:ascii="Times New Roman" w:hAnsi="Times New Roman" w:cs="Times New Roman"/>
              </w:rPr>
              <w:t>;  n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>=4</w:t>
            </w:r>
          </w:p>
          <w:p w14:paraId="1E70CEE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68BF6563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Timely administration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– </w:t>
            </w:r>
            <w:r w:rsidR="003923E2" w:rsidRPr="00930DCB">
              <w:rPr>
                <w:rFonts w:ascii="Times New Roman" w:hAnsi="Times New Roman" w:cs="Times New Roman"/>
              </w:rPr>
              <w:t>(</w:t>
            </w:r>
            <w:proofErr w:type="gramStart"/>
            <w:r w:rsidR="003923E2" w:rsidRPr="00930DCB">
              <w:rPr>
                <w:rFonts w:ascii="Times New Roman" w:hAnsi="Times New Roman" w:cs="Times New Roman"/>
              </w:rPr>
              <w:t>under ?6</w:t>
            </w:r>
            <w:proofErr w:type="gramEnd"/>
            <w:r w:rsidR="003923E2" w:rsidRPr="00930DCB">
              <w:rPr>
                <w:rFonts w:ascii="Times New Roman" w:hAnsi="Times New Roman" w:cs="Times New Roman"/>
              </w:rPr>
              <w:t xml:space="preserve"> hours) </w:t>
            </w:r>
            <w:r w:rsidRPr="00930DCB">
              <w:rPr>
                <w:rFonts w:ascii="Times New Roman" w:hAnsi="Times New Roman" w:cs="Times New Roman"/>
              </w:rPr>
              <w:t>100% survival  n=11</w:t>
            </w:r>
          </w:p>
          <w:p w14:paraId="11A17A82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7AE58425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20B851D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First early study to show value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in human MH. Patients that got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late – 75% died; all patients that got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soon after diagnosis survived. </w:t>
            </w:r>
          </w:p>
          <w:p w14:paraId="1EFE852D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2547C872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No structured </w:t>
            </w:r>
            <w:proofErr w:type="spellStart"/>
            <w:r w:rsidRPr="00930DCB">
              <w:rPr>
                <w:rFonts w:ascii="Times New Roman" w:hAnsi="Times New Roman" w:cs="Times New Roman"/>
              </w:rPr>
              <w:lastRenderedPageBreak/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dosing protocol but most used 1 mg/kg and then authors provided a mean starting dose given</w:t>
            </w:r>
          </w:p>
          <w:p w14:paraId="4DE180A0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5F10515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Basis for 2.5 mg/kg as starting dose in humans.   In 11 patients with unequivocal or probable MH, the mean dose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was 2.5±0.5 mg/kg</w:t>
            </w:r>
          </w:p>
        </w:tc>
        <w:tc>
          <w:tcPr>
            <w:tcW w:w="1620" w:type="dxa"/>
          </w:tcPr>
          <w:p w14:paraId="100D60EF" w14:textId="77777777" w:rsidR="00084773" w:rsidRPr="00930DCB" w:rsidRDefault="00084773" w:rsidP="00930DCB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MH event was diagnosed clinically, ABGs, and when possible muscle biopsy and by review by anesthesiology experts in MH</w:t>
            </w:r>
            <w:r w:rsidR="00930DCB" w:rsidRPr="00930DCB">
              <w:rPr>
                <w:rFonts w:ascii="Times New Roman" w:hAnsi="Times New Roman" w:cs="Times New Roman"/>
              </w:rPr>
              <w:t xml:space="preserve">; </w:t>
            </w:r>
            <w:r w:rsidRPr="00930DCB">
              <w:rPr>
                <w:rFonts w:ascii="Times New Roman" w:hAnsi="Times New Roman" w:cs="Times New Roman"/>
              </w:rPr>
              <w:t>in some cases</w:t>
            </w:r>
            <w:r w:rsidR="00930DCB" w:rsidRPr="00930DCB">
              <w:rPr>
                <w:rFonts w:ascii="Times New Roman" w:hAnsi="Times New Roman" w:cs="Times New Roman"/>
              </w:rPr>
              <w:t>,</w:t>
            </w:r>
            <w:r w:rsidRPr="00930DCB">
              <w:rPr>
                <w:rFonts w:ascii="Times New Roman" w:hAnsi="Times New Roman" w:cs="Times New Roman"/>
              </w:rPr>
              <w:t xml:space="preserve"> muscle biopsy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confirmed MH. </w:t>
            </w:r>
          </w:p>
        </w:tc>
        <w:tc>
          <w:tcPr>
            <w:tcW w:w="1170" w:type="dxa"/>
          </w:tcPr>
          <w:p w14:paraId="6C4C5AA2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483DE054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4</w:t>
            </w:r>
          </w:p>
          <w:p w14:paraId="08D3CA84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400CCED1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Direct human evidence – level is </w:t>
            </w:r>
            <w:proofErr w:type="gramStart"/>
            <w:r w:rsidRPr="00930DCB">
              <w:rPr>
                <w:rFonts w:ascii="Times New Roman" w:hAnsi="Times New Roman" w:cs="Times New Roman"/>
              </w:rPr>
              <w:t xml:space="preserve">high  </w:t>
            </w:r>
            <w:proofErr w:type="gramEnd"/>
          </w:p>
        </w:tc>
        <w:tc>
          <w:tcPr>
            <w:tcW w:w="1260" w:type="dxa"/>
          </w:tcPr>
          <w:p w14:paraId="46670FDA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Patients with cardiac arrest or delay of more than 6 hours before treatment were excluded from statistical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analysis; </w:t>
            </w:r>
            <w:proofErr w:type="spellStart"/>
            <w:r w:rsidRPr="00930DCB">
              <w:rPr>
                <w:rFonts w:ascii="Times New Roman" w:hAnsi="Times New Roman" w:cs="Times New Roman"/>
              </w:rPr>
              <w:t>unblinded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with multiple anesthesiologists adhering to standardized protocol and case report form</w:t>
            </w:r>
          </w:p>
        </w:tc>
        <w:tc>
          <w:tcPr>
            <w:tcW w:w="2880" w:type="dxa"/>
          </w:tcPr>
          <w:p w14:paraId="7AD7F58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Diagnosis was by clinician experts in MH; no definite protocol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administration; authors calculated average dose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used (formed basis of suggested starting human dose); one patient included as probable MH appears to have had MH –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was given but not sure when it was given; patient did not survive.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Unlikely that this data series has an overlap. </w:t>
            </w:r>
          </w:p>
          <w:p w14:paraId="49F46735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40284AA0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MH</w:t>
            </w:r>
            <w:r w:rsidR="00930DCB" w:rsidRPr="00930DCB">
              <w:rPr>
                <w:rFonts w:ascii="Times New Roman" w:hAnsi="Times New Roman" w:cs="Times New Roman"/>
              </w:rPr>
              <w:t xml:space="preserve"> susceptible</w:t>
            </w:r>
            <w:r w:rsidRPr="00930DCB">
              <w:rPr>
                <w:rFonts w:ascii="Times New Roman" w:hAnsi="Times New Roman" w:cs="Times New Roman"/>
              </w:rPr>
              <w:t xml:space="preserve"> patients who were biopsy positive did not get triggering agents but did get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despite no triggering agents and signs suggestive of MH.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appeared to reverse some of the symptoms. </w:t>
            </w:r>
          </w:p>
          <w:p w14:paraId="64C3A4F4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409C13C2" w14:textId="77777777" w:rsidR="00084773" w:rsidRPr="00930DCB" w:rsidRDefault="00930DCB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Patients we</w:t>
            </w:r>
            <w:r w:rsidR="00084773" w:rsidRPr="00930DCB">
              <w:rPr>
                <w:rFonts w:ascii="Times New Roman" w:hAnsi="Times New Roman" w:cs="Times New Roman"/>
              </w:rPr>
              <w:t>re from US and Canada</w:t>
            </w:r>
            <w:r w:rsidR="00EC6C86" w:rsidRPr="00930DCB">
              <w:rPr>
                <w:rFonts w:ascii="Times New Roman" w:hAnsi="Times New Roman" w:cs="Times New Roman"/>
              </w:rPr>
              <w:t xml:space="preserve"> with 65 institutions participating in study</w:t>
            </w:r>
            <w:r w:rsidR="009574C4" w:rsidRPr="00930DCB">
              <w:rPr>
                <w:rFonts w:ascii="Times New Roman" w:hAnsi="Times New Roman" w:cs="Times New Roman"/>
              </w:rPr>
              <w:t xml:space="preserve"> over 18 months although only 21 patients with ap</w:t>
            </w:r>
            <w:r w:rsidRPr="00930DCB">
              <w:rPr>
                <w:rFonts w:ascii="Times New Roman" w:hAnsi="Times New Roman" w:cs="Times New Roman"/>
              </w:rPr>
              <w:t>parent MH were treated with iv</w:t>
            </w:r>
            <w:r w:rsidR="009574C4" w:rsidRPr="0093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74C4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9574C4" w:rsidRPr="00930DCB">
              <w:rPr>
                <w:rFonts w:ascii="Times New Roman" w:hAnsi="Times New Roman" w:cs="Times New Roman"/>
              </w:rPr>
              <w:t xml:space="preserve"> by 16 anesthesiologists.  95% power to detect a difference of 0.025 level </w:t>
            </w:r>
            <w:proofErr w:type="spellStart"/>
            <w:r w:rsidR="009574C4" w:rsidRPr="00930DCB">
              <w:rPr>
                <w:rFonts w:ascii="Times New Roman" w:hAnsi="Times New Roman" w:cs="Times New Roman"/>
              </w:rPr>
              <w:t>beween</w:t>
            </w:r>
            <w:proofErr w:type="spellEnd"/>
            <w:r w:rsidR="009574C4" w:rsidRPr="00930DC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9574C4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9574C4" w:rsidRPr="00930DCB">
              <w:rPr>
                <w:rFonts w:ascii="Times New Roman" w:hAnsi="Times New Roman" w:cs="Times New Roman"/>
              </w:rPr>
              <w:t xml:space="preserve"> survival rate of 85% and the projected survival rate of 50%.</w:t>
            </w:r>
          </w:p>
          <w:p w14:paraId="3EAEE1A1" w14:textId="77777777" w:rsidR="009574C4" w:rsidRPr="00930DCB" w:rsidRDefault="009574C4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This s</w:t>
            </w:r>
            <w:r w:rsidR="00930DCB" w:rsidRPr="00930DCB">
              <w:rPr>
                <w:rFonts w:ascii="Times New Roman" w:hAnsi="Times New Roman" w:cs="Times New Roman"/>
              </w:rPr>
              <w:t>tudy led to FDA approval of iv</w:t>
            </w:r>
            <w:r w:rsidRPr="0093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>.</w:t>
            </w:r>
          </w:p>
        </w:tc>
      </w:tr>
      <w:tr w:rsidR="00084773" w:rsidRPr="00930DCB" w14:paraId="6C5C67A1" w14:textId="77777777" w:rsidTr="00763845">
        <w:tc>
          <w:tcPr>
            <w:tcW w:w="2448" w:type="dxa"/>
          </w:tcPr>
          <w:p w14:paraId="24134597" w14:textId="21103AE3" w:rsidR="00084773" w:rsidRPr="00BB7855" w:rsidRDefault="00BB7855" w:rsidP="00BB785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084773" w:rsidRPr="00BB7855">
              <w:rPr>
                <w:rFonts w:ascii="Times New Roman" w:hAnsi="Times New Roman" w:cs="Times New Roman"/>
              </w:rPr>
              <w:t xml:space="preserve">Larach MG,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lastRenderedPageBreak/>
              <w:t>Brandom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BW, Allen GC, Gronert GA, Lehman EB.  Cardiac arrests and deaths associated with malignant hyperthermia in North America from 1987 to 2006:  a report from the North American Malignant Hyperthermia Registry of the Malignant Hyperthermia Association of the United States.  Anesthesiology 2008</w:t>
            </w:r>
            <w:proofErr w:type="gramStart"/>
            <w:r w:rsidR="00084773" w:rsidRPr="00BB7855">
              <w:rPr>
                <w:rFonts w:ascii="Times New Roman" w:hAnsi="Times New Roman" w:cs="Times New Roman"/>
              </w:rPr>
              <w:t>;108:603</w:t>
            </w:r>
            <w:proofErr w:type="gramEnd"/>
            <w:r w:rsidR="00084773" w:rsidRPr="00BB785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620" w:type="dxa"/>
          </w:tcPr>
          <w:p w14:paraId="12617AEA" w14:textId="5C1ABF3F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Relative to the </w:t>
            </w:r>
            <w:r w:rsidRPr="00930DCB">
              <w:rPr>
                <w:rFonts w:ascii="Times New Roman" w:hAnsi="Times New Roman" w:cs="Times New Roman"/>
              </w:rPr>
              <w:lastRenderedPageBreak/>
              <w:t>cases without cardiac arrest or death, those who arrested were 49.7 times more likely to develop DIC</w:t>
            </w:r>
            <w:r w:rsidR="00ED5866">
              <w:rPr>
                <w:rFonts w:ascii="Times New Roman" w:hAnsi="Times New Roman" w:cs="Times New Roman"/>
              </w:rPr>
              <w:t>**</w:t>
            </w:r>
            <w:r w:rsidRPr="00930DCB">
              <w:rPr>
                <w:rFonts w:ascii="Times New Roman" w:hAnsi="Times New Roman" w:cs="Times New Roman"/>
              </w:rPr>
              <w:t xml:space="preserve">.  The odds ratio of dying was 49.7 (6.9-596.5) P=0.000 if the patient experienced DIC.  </w:t>
            </w:r>
          </w:p>
          <w:p w14:paraId="40B51A4E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(The authors quote a Danish study as follows:</w:t>
            </w:r>
          </w:p>
          <w:p w14:paraId="7EBEFE1F" w14:textId="77777777" w:rsidR="00084773" w:rsidRPr="00ED5866" w:rsidRDefault="00084773" w:rsidP="00084773">
            <w:pPr>
              <w:rPr>
                <w:rFonts w:ascii="Times New Roman" w:eastAsia="Times New Roman" w:hAnsi="Times New Roman" w:cs="Times New Roman"/>
              </w:rPr>
            </w:pPr>
            <w:r w:rsidRPr="00ED5866">
              <w:rPr>
                <w:rFonts w:ascii="Times New Roman" w:eastAsia="Times New Roman" w:hAnsi="Times New Roman" w:cs="Times New Roman"/>
              </w:rPr>
              <w:t xml:space="preserve">The Danish Register analyzed all cases between January 1, 1978, and July 1, 1984, when </w:t>
            </w:r>
            <w:proofErr w:type="spellStart"/>
            <w:r w:rsidRPr="00ED5866">
              <w:rPr>
                <w:rFonts w:ascii="Times New Roman" w:eastAsia="Times New Roman" w:hAnsi="Times New Roman" w:cs="Times New Roman"/>
              </w:rPr>
              <w:t>dantrolene</w:t>
            </w:r>
            <w:proofErr w:type="spellEnd"/>
            <w:r w:rsidRPr="00ED5866">
              <w:rPr>
                <w:rFonts w:ascii="Times New Roman" w:eastAsia="Times New Roman" w:hAnsi="Times New Roman" w:cs="Times New Roman"/>
              </w:rPr>
              <w:t xml:space="preserve"> had just been </w:t>
            </w:r>
            <w:r w:rsidRPr="00ED5866">
              <w:rPr>
                <w:rFonts w:ascii="Times New Roman" w:eastAsia="Times New Roman" w:hAnsi="Times New Roman" w:cs="Times New Roman"/>
              </w:rPr>
              <w:lastRenderedPageBreak/>
              <w:t>introduced, with 10% mortality in 10 fulminant cases</w:t>
            </w:r>
          </w:p>
          <w:p w14:paraId="0027D8A9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ED5866">
              <w:rPr>
                <w:rFonts w:ascii="Times New Roman" w:hAnsi="Times New Roman" w:cs="Times New Roman"/>
              </w:rPr>
              <w:t>7 vs. 179)</w:t>
            </w:r>
          </w:p>
        </w:tc>
        <w:tc>
          <w:tcPr>
            <w:tcW w:w="1890" w:type="dxa"/>
          </w:tcPr>
          <w:p w14:paraId="13AF865E" w14:textId="77777777" w:rsidR="00084773" w:rsidRPr="00930DCB" w:rsidRDefault="00930DCB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The authors did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not indicate </w:t>
            </w:r>
            <w:r w:rsidR="00084773" w:rsidRPr="00930DCB">
              <w:rPr>
                <w:rFonts w:ascii="Times New Roman" w:hAnsi="Times New Roman" w:cs="Times New Roman"/>
              </w:rPr>
              <w:t xml:space="preserve">the impact of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 on DIC.  Analysis only looks at the total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 being significantly different between those with cardiac arrest and/or death and those without. (10.1 vs 5.0 mg/kg)   Also, total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 for fatal vs nonfatal MH was significantly different (11.1 vs 5.1 mg.kg</w:t>
            </w:r>
            <w:proofErr w:type="gramStart"/>
            <w:r w:rsidR="00084773" w:rsidRPr="00930DCB">
              <w:rPr>
                <w:rFonts w:ascii="Times New Roman" w:hAnsi="Times New Roman" w:cs="Times New Roman"/>
              </w:rPr>
              <w:t>)  Personal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 xml:space="preserve"> communication from M.</w:t>
            </w:r>
            <w:r w:rsidRPr="00930DCB">
              <w:rPr>
                <w:rFonts w:ascii="Times New Roman" w:hAnsi="Times New Roman" w:cs="Times New Roman"/>
              </w:rPr>
              <w:t xml:space="preserve"> G. </w:t>
            </w:r>
            <w:r w:rsidR="00084773" w:rsidRPr="00930DCB">
              <w:rPr>
                <w:rFonts w:ascii="Times New Roman" w:hAnsi="Times New Roman" w:cs="Times New Roman"/>
              </w:rPr>
              <w:t xml:space="preserve">Larach on 7.31.17:  Initial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 was not significantly </w:t>
            </w:r>
            <w:r w:rsidR="00084773" w:rsidRPr="00930DCB">
              <w:rPr>
                <w:rFonts w:ascii="Times New Roman" w:hAnsi="Times New Roman" w:cs="Times New Roman"/>
              </w:rPr>
              <w:lastRenderedPageBreak/>
              <w:t>different between those who died and those who did not nor was there a significant difference between time of 1</w:t>
            </w:r>
            <w:r w:rsidR="00084773" w:rsidRPr="00930DCB">
              <w:rPr>
                <w:rFonts w:ascii="Times New Roman" w:hAnsi="Times New Roman" w:cs="Times New Roman"/>
                <w:vertAlign w:val="superscript"/>
              </w:rPr>
              <w:t>st</w:t>
            </w:r>
            <w:r w:rsidR="00084773" w:rsidRPr="00930DCB">
              <w:rPr>
                <w:rFonts w:ascii="Times New Roman" w:hAnsi="Times New Roman" w:cs="Times New Roman"/>
              </w:rPr>
              <w:t xml:space="preserve"> MH sign and time of initial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dose.  This data is found in the methods and results section of paper e.g. if not listed as significant, it was not significantly different and did not appear in Table 3</w:t>
            </w:r>
            <w:r w:rsidRPr="00930DCB">
              <w:rPr>
                <w:rFonts w:ascii="Times New Roman" w:hAnsi="Times New Roman" w:cs="Times New Roman"/>
              </w:rPr>
              <w:t>.</w:t>
            </w:r>
            <w:r w:rsidR="00084773" w:rsidRPr="00930DCB">
              <w:rPr>
                <w:rFonts w:ascii="Times New Roman" w:hAnsi="Times New Roman" w:cs="Times New Roman"/>
              </w:rPr>
              <w:t xml:space="preserve">  See also discussion section:  “There were no reported differences in outcome (cardiac arrest/death implied) as regards time to </w:t>
            </w:r>
            <w:r w:rsidR="00084773" w:rsidRPr="00930DCB">
              <w:rPr>
                <w:rFonts w:ascii="Times New Roman" w:hAnsi="Times New Roman" w:cs="Times New Roman"/>
              </w:rPr>
              <w:lastRenderedPageBreak/>
              <w:t>MH diagnosis or treatment.</w:t>
            </w:r>
            <w:proofErr w:type="gramStart"/>
            <w:r w:rsidR="00084773" w:rsidRPr="00930DCB">
              <w:rPr>
                <w:rFonts w:ascii="Times New Roman" w:hAnsi="Times New Roman" w:cs="Times New Roman"/>
              </w:rPr>
              <w:t>”.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 xml:space="preserve">   [Nothing </w:t>
            </w:r>
            <w:r w:rsidR="002B3EB8" w:rsidRPr="00930DCB">
              <w:rPr>
                <w:rFonts w:ascii="Times New Roman" w:hAnsi="Times New Roman" w:cs="Times New Roman"/>
              </w:rPr>
              <w:t xml:space="preserve">in table </w:t>
            </w:r>
            <w:r w:rsidR="00084773" w:rsidRPr="00930DCB">
              <w:rPr>
                <w:rFonts w:ascii="Times New Roman" w:hAnsi="Times New Roman" w:cs="Times New Roman"/>
              </w:rPr>
              <w:t xml:space="preserve">on timing of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 or amount of initial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dose.]</w:t>
            </w:r>
          </w:p>
          <w:p w14:paraId="4FC275C0" w14:textId="77777777" w:rsidR="00084773" w:rsidRPr="00930DCB" w:rsidRDefault="00084773" w:rsidP="0008477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30DCB">
              <w:rPr>
                <w:rFonts w:ascii="Times New Roman" w:eastAsia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eastAsia="Times New Roman" w:hAnsi="Times New Roman" w:cs="Times New Roman"/>
              </w:rPr>
              <w:t xml:space="preserve"> was used in 91.9% of patients, with a mortality rate of 1.4%</w:t>
            </w:r>
          </w:p>
          <w:p w14:paraId="722C3865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57C7174" w14:textId="1A5163BC" w:rsidR="00084773" w:rsidRPr="00930DCB" w:rsidRDefault="00084773" w:rsidP="00ED5866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CGS</w:t>
            </w:r>
            <w:r w:rsidR="00ED5866">
              <w:rPr>
                <w:rFonts w:ascii="Times New Roman" w:hAnsi="Times New Roman" w:cs="Times New Roman"/>
              </w:rPr>
              <w:t>*</w:t>
            </w:r>
            <w:r w:rsidRPr="00930DCB">
              <w:rPr>
                <w:rFonts w:ascii="Times New Roman" w:hAnsi="Times New Roman" w:cs="Times New Roman"/>
              </w:rPr>
              <w:t xml:space="preserve"> score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of &gt;=35 =Rank 5 and 6 or “very likely” or “almost certain” MH-no genotyping or </w:t>
            </w:r>
            <w:r w:rsidR="00ED5866">
              <w:rPr>
                <w:rFonts w:ascii="Times New Roman" w:hAnsi="Times New Roman" w:cs="Times New Roman"/>
              </w:rPr>
              <w:t xml:space="preserve">contracture </w:t>
            </w:r>
            <w:r w:rsidRPr="00930DCB">
              <w:rPr>
                <w:rFonts w:ascii="Times New Roman" w:hAnsi="Times New Roman" w:cs="Times New Roman"/>
              </w:rPr>
              <w:t>confirmation of MH susceptibility</w:t>
            </w:r>
          </w:p>
        </w:tc>
        <w:tc>
          <w:tcPr>
            <w:tcW w:w="1170" w:type="dxa"/>
          </w:tcPr>
          <w:p w14:paraId="3219453C" w14:textId="77777777" w:rsidR="00084773" w:rsidRPr="00930DCB" w:rsidRDefault="0048428D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0E81DD53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27147A6B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7A9165D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NAMHR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data for AMRAs received from 1/1/1987* through 12/31/2006 Reporting and recall bias; selection bias </w:t>
            </w:r>
          </w:p>
          <w:p w14:paraId="0CCBD02B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Not classic case control study and confounding is present;</w:t>
            </w:r>
          </w:p>
          <w:p w14:paraId="01FDC80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“</w:t>
            </w:r>
            <w:proofErr w:type="gramStart"/>
            <w:r w:rsidRPr="00930DCB">
              <w:rPr>
                <w:rFonts w:ascii="Times New Roman" w:hAnsi="Times New Roman" w:cs="Times New Roman"/>
              </w:rPr>
              <w:t>associations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do not imply causation”</w:t>
            </w:r>
          </w:p>
          <w:p w14:paraId="7FF09108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*Earliest AMRAs did not include complication </w:t>
            </w:r>
            <w:r w:rsidRPr="00930DCB">
              <w:rPr>
                <w:rFonts w:ascii="Times New Roman" w:hAnsi="Times New Roman" w:cs="Times New Roman"/>
              </w:rPr>
              <w:lastRenderedPageBreak/>
              <w:t>question.</w:t>
            </w:r>
          </w:p>
          <w:p w14:paraId="4AF8D8D8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7A3A777" w14:textId="77777777" w:rsidR="00084773" w:rsidRPr="00930DCB" w:rsidRDefault="00084773" w:rsidP="00930DCB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Majority of patients from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the </w:t>
            </w:r>
            <w:r w:rsidR="00930DCB" w:rsidRPr="00930DCB">
              <w:rPr>
                <w:rFonts w:ascii="Times New Roman" w:hAnsi="Times New Roman" w:cs="Times New Roman"/>
              </w:rPr>
              <w:t>US</w:t>
            </w:r>
          </w:p>
        </w:tc>
      </w:tr>
      <w:tr w:rsidR="00084773" w:rsidRPr="00930DCB" w14:paraId="50CD7D77" w14:textId="77777777" w:rsidTr="00763845">
        <w:tc>
          <w:tcPr>
            <w:tcW w:w="2448" w:type="dxa"/>
          </w:tcPr>
          <w:p w14:paraId="30007ECE" w14:textId="7374F8E3" w:rsidR="00084773" w:rsidRPr="00BB7855" w:rsidRDefault="00BB7855" w:rsidP="00BB785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 Larach MG, Gronert GA, </w:t>
            </w:r>
            <w:r w:rsidR="00084773" w:rsidRPr="00BB7855">
              <w:rPr>
                <w:rFonts w:ascii="Times New Roman" w:hAnsi="Times New Roman" w:cs="Times New Roman"/>
              </w:rPr>
              <w:t xml:space="preserve">Allen GC,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Brandom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BW, Lehman EB. Clinical presentation, treatment, and complications of malignant hyperthermia in North America from 1987 to 2006.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Anesth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Analg 2010</w:t>
            </w:r>
            <w:proofErr w:type="gramStart"/>
            <w:r w:rsidR="00084773" w:rsidRPr="00BB7855">
              <w:rPr>
                <w:rFonts w:ascii="Times New Roman" w:hAnsi="Times New Roman" w:cs="Times New Roman"/>
              </w:rPr>
              <w:t>;110:498</w:t>
            </w:r>
            <w:proofErr w:type="gramEnd"/>
            <w:r w:rsidR="00084773" w:rsidRPr="00BB7855">
              <w:rPr>
                <w:rFonts w:ascii="Times New Roman" w:hAnsi="Times New Roman" w:cs="Times New Roman"/>
              </w:rPr>
              <w:t>-507</w:t>
            </w:r>
          </w:p>
        </w:tc>
        <w:tc>
          <w:tcPr>
            <w:tcW w:w="1620" w:type="dxa"/>
          </w:tcPr>
          <w:p w14:paraId="1E0D6D4B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No data on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and MH mortality</w:t>
            </w:r>
          </w:p>
          <w:p w14:paraId="0426A28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22 patients of 229 patients received no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and survived their event without cardiac arrest.  2 of the 11 for whom information on complications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were available had a complication.  Those treated with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were 2.97 times more likely to have an “almost certain” episode than those not treated with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890" w:type="dxa"/>
          </w:tcPr>
          <w:p w14:paraId="5935C512" w14:textId="77777777" w:rsidR="00084773" w:rsidRPr="00930DCB" w:rsidRDefault="00B4170D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Regardless of outcome, clinicians treated 229 MH patients with a median initial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dose of 2.4 (1</w:t>
            </w:r>
            <w:r w:rsidRPr="00930DC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30DCB">
              <w:rPr>
                <w:rFonts w:ascii="Times New Roman" w:hAnsi="Times New Roman" w:cs="Times New Roman"/>
              </w:rPr>
              <w:t xml:space="preserve"> quartile 1.9, 3</w:t>
            </w:r>
            <w:r w:rsidRPr="00930DC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30DCB">
              <w:rPr>
                <w:rFonts w:ascii="Times New Roman" w:hAnsi="Times New Roman" w:cs="Times New Roman"/>
              </w:rPr>
              <w:t xml:space="preserve"> quartile 2.8</w:t>
            </w:r>
            <w:proofErr w:type="gramStart"/>
            <w:r w:rsidRPr="00930DCB">
              <w:rPr>
                <w:rFonts w:ascii="Times New Roman" w:hAnsi="Times New Roman" w:cs="Times New Roman"/>
              </w:rPr>
              <w:t>)  range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0.01-15.0 mg/kg and a t</w:t>
            </w:r>
            <w:r w:rsidR="00277DD7" w:rsidRPr="00930DCB">
              <w:rPr>
                <w:rFonts w:ascii="Times New Roman" w:hAnsi="Times New Roman" w:cs="Times New Roman"/>
              </w:rPr>
              <w:t xml:space="preserve">otal </w:t>
            </w:r>
            <w:proofErr w:type="spellStart"/>
            <w:r w:rsidR="00277DD7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277DD7" w:rsidRPr="00930DCB">
              <w:rPr>
                <w:rFonts w:ascii="Times New Roman" w:hAnsi="Times New Roman" w:cs="Times New Roman"/>
              </w:rPr>
              <w:t xml:space="preserve"> dosage for 229 MH events was a median of 5.9 (1</w:t>
            </w:r>
            <w:r w:rsidR="00277DD7" w:rsidRPr="00930DCB">
              <w:rPr>
                <w:rFonts w:ascii="Times New Roman" w:hAnsi="Times New Roman" w:cs="Times New Roman"/>
                <w:vertAlign w:val="superscript"/>
              </w:rPr>
              <w:t>st</w:t>
            </w:r>
            <w:r w:rsidR="00277DD7" w:rsidRPr="00930DCB">
              <w:rPr>
                <w:rFonts w:ascii="Times New Roman" w:hAnsi="Times New Roman" w:cs="Times New Roman"/>
              </w:rPr>
              <w:t xml:space="preserve"> quartile 3.0, 3</w:t>
            </w:r>
            <w:r w:rsidR="00277DD7" w:rsidRPr="00930DCB">
              <w:rPr>
                <w:rFonts w:ascii="Times New Roman" w:hAnsi="Times New Roman" w:cs="Times New Roman"/>
                <w:vertAlign w:val="superscript"/>
              </w:rPr>
              <w:t>rd</w:t>
            </w:r>
            <w:r w:rsidR="00277DD7" w:rsidRPr="00930DCB">
              <w:rPr>
                <w:rFonts w:ascii="Times New Roman" w:hAnsi="Times New Roman" w:cs="Times New Roman"/>
              </w:rPr>
              <w:t xml:space="preserve"> quartile 10.0) </w:t>
            </w:r>
            <w:r w:rsidR="00277DD7" w:rsidRPr="00930DCB">
              <w:rPr>
                <w:rFonts w:ascii="Times New Roman" w:hAnsi="Times New Roman" w:cs="Times New Roman"/>
              </w:rPr>
              <w:lastRenderedPageBreak/>
              <w:t>range 0.02-100.00 mg/kg.</w:t>
            </w:r>
          </w:p>
          <w:p w14:paraId="7ED62DE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20" w:type="dxa"/>
          </w:tcPr>
          <w:p w14:paraId="79AD2753" w14:textId="2A82346B" w:rsidR="00084773" w:rsidRPr="00930DCB" w:rsidRDefault="00084773" w:rsidP="00ED5866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CGS score of &gt;=35 =Rank 5 and 6 or “very likely” or “almost certain” MH-no genotyping or </w:t>
            </w:r>
            <w:r w:rsidR="00ED5866">
              <w:rPr>
                <w:rFonts w:ascii="Times New Roman" w:hAnsi="Times New Roman" w:cs="Times New Roman"/>
              </w:rPr>
              <w:t xml:space="preserve">contracture </w:t>
            </w:r>
            <w:r w:rsidRPr="00930DCB">
              <w:rPr>
                <w:rFonts w:ascii="Times New Roman" w:hAnsi="Times New Roman" w:cs="Times New Roman"/>
              </w:rPr>
              <w:t>confirmation of MH susceptibility</w:t>
            </w:r>
          </w:p>
        </w:tc>
        <w:tc>
          <w:tcPr>
            <w:tcW w:w="1170" w:type="dxa"/>
          </w:tcPr>
          <w:p w14:paraId="02CAA4F3" w14:textId="77777777" w:rsidR="00084773" w:rsidRPr="00930DCB" w:rsidRDefault="0048428D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3326B341" w14:textId="37244D95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NAMHR data f</w:t>
            </w:r>
            <w:r w:rsidR="00ED5866">
              <w:rPr>
                <w:rFonts w:ascii="Times New Roman" w:hAnsi="Times New Roman" w:cs="Times New Roman"/>
              </w:rPr>
              <w:t>or AMRAs received from 1/1/1987§</w:t>
            </w:r>
            <w:r w:rsidRPr="00930DCB">
              <w:rPr>
                <w:rFonts w:ascii="Times New Roman" w:hAnsi="Times New Roman" w:cs="Times New Roman"/>
              </w:rPr>
              <w:t xml:space="preserve"> through 12/31/2006 Reporting and recall bias; selection bias </w:t>
            </w:r>
          </w:p>
          <w:p w14:paraId="6EB78833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Not classic case </w:t>
            </w:r>
            <w:r w:rsidRPr="00930DCB">
              <w:rPr>
                <w:rFonts w:ascii="Times New Roman" w:hAnsi="Times New Roman" w:cs="Times New Roman"/>
              </w:rPr>
              <w:lastRenderedPageBreak/>
              <w:t>control study and confounding is present;</w:t>
            </w:r>
          </w:p>
          <w:p w14:paraId="11F0F73A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“</w:t>
            </w:r>
            <w:proofErr w:type="gramStart"/>
            <w:r w:rsidRPr="00930DCB">
              <w:rPr>
                <w:rFonts w:ascii="Times New Roman" w:hAnsi="Times New Roman" w:cs="Times New Roman"/>
              </w:rPr>
              <w:t>associations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do not imply causation”</w:t>
            </w:r>
          </w:p>
          <w:p w14:paraId="644938B8" w14:textId="38B38447" w:rsidR="00084773" w:rsidRPr="00930DCB" w:rsidRDefault="00ED5866" w:rsidP="0008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084773" w:rsidRPr="00930DCB">
              <w:rPr>
                <w:rFonts w:ascii="Times New Roman" w:hAnsi="Times New Roman" w:cs="Times New Roman"/>
              </w:rPr>
              <w:t>Earliest AMRAs did not include complication question.</w:t>
            </w:r>
          </w:p>
          <w:p w14:paraId="6811E413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167A910" w14:textId="6EE73926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Reference 2 and 3 patients are from the same dataset and completely overlap.  M</w:t>
            </w:r>
            <w:r w:rsidR="00ED5866">
              <w:rPr>
                <w:rFonts w:ascii="Times New Roman" w:hAnsi="Times New Roman" w:cs="Times New Roman"/>
              </w:rPr>
              <w:t>ajority of patients from the US.</w:t>
            </w:r>
          </w:p>
        </w:tc>
      </w:tr>
      <w:tr w:rsidR="00084773" w:rsidRPr="00930DCB" w14:paraId="66020371" w14:textId="77777777" w:rsidTr="00763845">
        <w:tc>
          <w:tcPr>
            <w:tcW w:w="2448" w:type="dxa"/>
          </w:tcPr>
          <w:p w14:paraId="76530FF9" w14:textId="75E0642F" w:rsidR="00084773" w:rsidRPr="00BB7855" w:rsidRDefault="00BB7855" w:rsidP="00BB785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 </w:t>
            </w:r>
            <w:r w:rsidR="00084773" w:rsidRPr="00BB7855">
              <w:rPr>
                <w:rFonts w:ascii="Times New Roman" w:hAnsi="Times New Roman" w:cs="Times New Roman"/>
              </w:rPr>
              <w:t xml:space="preserve">Nelson P,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Litman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RS. Malignant hyperthermia in children: An analysis of the North American Malignant Hyperthermia Registry.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Anesth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Analg 2014; 118:369-74</w:t>
            </w:r>
          </w:p>
        </w:tc>
        <w:tc>
          <w:tcPr>
            <w:tcW w:w="1620" w:type="dxa"/>
          </w:tcPr>
          <w:p w14:paraId="6B98CA2D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proofErr w:type="gramStart"/>
            <w:r w:rsidRPr="00930DCB">
              <w:rPr>
                <w:rFonts w:ascii="Times New Roman" w:hAnsi="Times New Roman" w:cs="Times New Roman"/>
              </w:rPr>
              <w:t>Dataset  includes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patients  up to and including 18 years of age.  Deaths occurred between 1990 and 2010.  10/264 (3.8%) died with no deaths in the 0-24 months age group.</w:t>
            </w:r>
          </w:p>
        </w:tc>
        <w:tc>
          <w:tcPr>
            <w:tcW w:w="1890" w:type="dxa"/>
          </w:tcPr>
          <w:p w14:paraId="5F9110F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proofErr w:type="gramStart"/>
            <w:r w:rsidRPr="00930DCB">
              <w:rPr>
                <w:rFonts w:ascii="Times New Roman" w:hAnsi="Times New Roman" w:cs="Times New Roman"/>
              </w:rPr>
              <w:t>Overall  188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/254 (74%) of surviving patients received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but only 5/10 (50%) of those who died had received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.  Of the 5 who received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, 2 died during a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recrudescence (4-year old recrudesced 6 hours after the initial event and a 14 year old recrudesced 24 hours after the initial event).    No data on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</w:t>
            </w:r>
            <w:r w:rsidR="00A56934" w:rsidRPr="00930DCB">
              <w:rPr>
                <w:rFonts w:ascii="Times New Roman" w:hAnsi="Times New Roman" w:cs="Times New Roman"/>
              </w:rPr>
              <w:t>trolene</w:t>
            </w:r>
            <w:proofErr w:type="spellEnd"/>
            <w:r w:rsidR="00A56934" w:rsidRPr="00930DCB">
              <w:rPr>
                <w:rFonts w:ascii="Times New Roman" w:hAnsi="Times New Roman" w:cs="Times New Roman"/>
              </w:rPr>
              <w:t xml:space="preserve"> doses of those who died</w:t>
            </w:r>
            <w:r w:rsidRPr="00930DCB">
              <w:rPr>
                <w:rFonts w:ascii="Times New Roman" w:hAnsi="Times New Roman" w:cs="Times New Roman"/>
              </w:rPr>
              <w:t>.  No data presented on time of 1</w:t>
            </w:r>
            <w:r w:rsidRPr="00930DC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30DCB">
              <w:rPr>
                <w:rFonts w:ascii="Times New Roman" w:hAnsi="Times New Roman" w:cs="Times New Roman"/>
              </w:rPr>
              <w:t xml:space="preserve"> dose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in anyone in this dataset.</w:t>
            </w:r>
          </w:p>
        </w:tc>
        <w:tc>
          <w:tcPr>
            <w:tcW w:w="1620" w:type="dxa"/>
          </w:tcPr>
          <w:p w14:paraId="5B44ADDE" w14:textId="78B084E0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CGS score of &gt;=35 =Rank 5 and 6 or “very likely” or “almost c</w:t>
            </w:r>
            <w:r w:rsidR="00ED5866">
              <w:rPr>
                <w:rFonts w:ascii="Times New Roman" w:hAnsi="Times New Roman" w:cs="Times New Roman"/>
              </w:rPr>
              <w:t>ertain” MH-no genotyping or contracture</w:t>
            </w:r>
            <w:r w:rsidRPr="00930DCB">
              <w:rPr>
                <w:rFonts w:ascii="Times New Roman" w:hAnsi="Times New Roman" w:cs="Times New Roman"/>
              </w:rPr>
              <w:t xml:space="preserve"> confirmation of MH susceptibility</w:t>
            </w:r>
          </w:p>
        </w:tc>
        <w:tc>
          <w:tcPr>
            <w:tcW w:w="1170" w:type="dxa"/>
          </w:tcPr>
          <w:p w14:paraId="74CF0B31" w14:textId="77777777" w:rsidR="00084773" w:rsidRPr="00930DCB" w:rsidRDefault="0048428D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45ED4612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NAMHR of MHAUS data fro AMRAs with events reported </w:t>
            </w:r>
            <w:proofErr w:type="gramStart"/>
            <w:r w:rsidRPr="00930DCB">
              <w:rPr>
                <w:rFonts w:ascii="Times New Roman" w:hAnsi="Times New Roman" w:cs="Times New Roman"/>
              </w:rPr>
              <w:t>between 1960 to 2011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. Reporting and recall bias;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selection bias </w:t>
            </w:r>
          </w:p>
          <w:p w14:paraId="3AA5F05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Not classic case control study and confounding is present;</w:t>
            </w:r>
          </w:p>
          <w:p w14:paraId="0B01FE3E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“</w:t>
            </w:r>
            <w:proofErr w:type="gramStart"/>
            <w:r w:rsidRPr="00930DCB">
              <w:rPr>
                <w:rFonts w:ascii="Times New Roman" w:hAnsi="Times New Roman" w:cs="Times New Roman"/>
              </w:rPr>
              <w:t>associations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do not imply causation”</w:t>
            </w:r>
          </w:p>
          <w:p w14:paraId="668352A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707EC53" w14:textId="493ACCC1" w:rsidR="00084773" w:rsidRPr="00930DCB" w:rsidRDefault="00084773" w:rsidP="00052152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Unclear overla</w:t>
            </w:r>
            <w:r w:rsidR="00110A93">
              <w:rPr>
                <w:rFonts w:ascii="Times New Roman" w:hAnsi="Times New Roman" w:cs="Times New Roman"/>
              </w:rPr>
              <w:t>p between references 2, 3, and 5</w:t>
            </w:r>
            <w:r w:rsidRPr="00930DC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4773" w:rsidRPr="00930DCB" w14:paraId="0A883F70" w14:textId="77777777" w:rsidTr="00763845">
        <w:tc>
          <w:tcPr>
            <w:tcW w:w="2448" w:type="dxa"/>
          </w:tcPr>
          <w:p w14:paraId="764AF757" w14:textId="6DF3D9D7" w:rsidR="00084773" w:rsidRPr="00BB7855" w:rsidRDefault="00BB7855" w:rsidP="00BB785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="00084773" w:rsidRPr="00BB7855">
              <w:rPr>
                <w:rFonts w:ascii="Times New Roman" w:hAnsi="Times New Roman" w:cs="Times New Roman"/>
              </w:rPr>
              <w:t xml:space="preserve"> Larach MG,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Brandom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BW, Allen GC, Gronert GA, Lehman EV:  Malignant hyperthermia deaths related to inadequate temperature monitoring, 2007-2012:  a report from the North American </w:t>
            </w:r>
            <w:r w:rsidR="00084773" w:rsidRPr="00BB7855">
              <w:rPr>
                <w:rFonts w:ascii="Times New Roman" w:hAnsi="Times New Roman" w:cs="Times New Roman"/>
              </w:rPr>
              <w:lastRenderedPageBreak/>
              <w:t xml:space="preserve">Malignant Hyperthermia Registry of the Malignant Hyperthermia Association of the United States. </w:t>
            </w:r>
            <w:proofErr w:type="spellStart"/>
            <w:r w:rsidR="00084773" w:rsidRPr="00BB7855">
              <w:rPr>
                <w:rFonts w:ascii="Times New Roman" w:hAnsi="Times New Roman" w:cs="Times New Roman"/>
              </w:rPr>
              <w:t>Anesth</w:t>
            </w:r>
            <w:proofErr w:type="spellEnd"/>
            <w:r w:rsidR="00084773" w:rsidRPr="00BB7855">
              <w:rPr>
                <w:rFonts w:ascii="Times New Roman" w:hAnsi="Times New Roman" w:cs="Times New Roman"/>
              </w:rPr>
              <w:t xml:space="preserve"> Analg 2014; 119:1359-66 (Other:  NAMHR of MHAUS dataset) </w:t>
            </w:r>
          </w:p>
        </w:tc>
        <w:tc>
          <w:tcPr>
            <w:tcW w:w="1620" w:type="dxa"/>
          </w:tcPr>
          <w:p w14:paraId="34FFB706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Did not discuss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and its use and relationship to mortality.</w:t>
            </w:r>
          </w:p>
          <w:p w14:paraId="511D22BE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(Longer anesthetic exposures before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were </w:t>
            </w:r>
            <w:r w:rsidRPr="00930DCB">
              <w:rPr>
                <w:rFonts w:ascii="Times New Roman" w:hAnsi="Times New Roman" w:cs="Times New Roman"/>
              </w:rPr>
              <w:lastRenderedPageBreak/>
              <w:t>associated with higher peak temperatures.)</w:t>
            </w:r>
          </w:p>
        </w:tc>
        <w:tc>
          <w:tcPr>
            <w:tcW w:w="1890" w:type="dxa"/>
          </w:tcPr>
          <w:p w14:paraId="65CAAA63" w14:textId="07575225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Not published </w:t>
            </w:r>
            <w:r w:rsidR="00BB7855">
              <w:rPr>
                <w:rFonts w:ascii="Times New Roman" w:hAnsi="Times New Roman" w:cs="Times New Roman"/>
              </w:rPr>
              <w:t>but drawn from the same dataset-see below.</w:t>
            </w:r>
            <w:r w:rsidRPr="00930DCB">
              <w:rPr>
                <w:rFonts w:ascii="Times New Roman" w:hAnsi="Times New Roman" w:cs="Times New Roman"/>
              </w:rPr>
              <w:t xml:space="preserve">  </w:t>
            </w:r>
            <w:r w:rsidRPr="00BB7855">
              <w:rPr>
                <w:rFonts w:ascii="Times New Roman" w:hAnsi="Times New Roman" w:cs="Times New Roman"/>
              </w:rPr>
              <w:t xml:space="preserve">There was no significant difference in the initial dose of </w:t>
            </w:r>
            <w:proofErr w:type="spellStart"/>
            <w:r w:rsidRPr="00BB7855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BB7855">
              <w:rPr>
                <w:rFonts w:ascii="Times New Roman" w:hAnsi="Times New Roman" w:cs="Times New Roman"/>
              </w:rPr>
              <w:t xml:space="preserve">/kg given to those who died and those who survived.  </w:t>
            </w:r>
            <w:r w:rsidRPr="00BB7855">
              <w:rPr>
                <w:rFonts w:ascii="Times New Roman" w:hAnsi="Times New Roman" w:cs="Times New Roman"/>
              </w:rPr>
              <w:lastRenderedPageBreak/>
              <w:t xml:space="preserve">Median of 2.47 mg/kg for those who survived vs. 2.22 </w:t>
            </w:r>
            <w:r w:rsidR="00BB7855" w:rsidRPr="00BB7855">
              <w:rPr>
                <w:rFonts w:ascii="Times New Roman" w:hAnsi="Times New Roman" w:cs="Times New Roman"/>
              </w:rPr>
              <w:t>m</w:t>
            </w:r>
            <w:r w:rsidRPr="00BB7855">
              <w:rPr>
                <w:rFonts w:ascii="Times New Roman" w:hAnsi="Times New Roman" w:cs="Times New Roman"/>
              </w:rPr>
              <w:t>g/</w:t>
            </w:r>
            <w:r w:rsidR="00BB7855" w:rsidRPr="00BB7855">
              <w:rPr>
                <w:rFonts w:ascii="Times New Roman" w:hAnsi="Times New Roman" w:cs="Times New Roman"/>
              </w:rPr>
              <w:t xml:space="preserve">kg. </w:t>
            </w:r>
            <w:proofErr w:type="gramStart"/>
            <w:r w:rsidR="00BB7855" w:rsidRPr="00BB7855">
              <w:rPr>
                <w:rFonts w:ascii="Times New Roman" w:hAnsi="Times New Roman" w:cs="Times New Roman"/>
              </w:rPr>
              <w:t>for</w:t>
            </w:r>
            <w:proofErr w:type="gramEnd"/>
            <w:r w:rsidR="00BB7855" w:rsidRPr="00BB7855">
              <w:rPr>
                <w:rFonts w:ascii="Times New Roman" w:hAnsi="Times New Roman" w:cs="Times New Roman"/>
              </w:rPr>
              <w:t xml:space="preserve"> those who died.   T</w:t>
            </w:r>
            <w:r w:rsidRPr="00BB7855">
              <w:rPr>
                <w:rFonts w:ascii="Times New Roman" w:hAnsi="Times New Roman" w:cs="Times New Roman"/>
              </w:rPr>
              <w:t xml:space="preserve">here </w:t>
            </w:r>
            <w:r w:rsidR="00BB7855" w:rsidRPr="00BB7855">
              <w:rPr>
                <w:rFonts w:ascii="Times New Roman" w:hAnsi="Times New Roman" w:cs="Times New Roman"/>
              </w:rPr>
              <w:t>was no</w:t>
            </w:r>
            <w:r w:rsidRPr="00BB7855">
              <w:rPr>
                <w:rFonts w:ascii="Times New Roman" w:hAnsi="Times New Roman" w:cs="Times New Roman"/>
              </w:rPr>
              <w:t xml:space="preserve"> significant </w:t>
            </w:r>
            <w:r w:rsidR="00BB7855" w:rsidRPr="00BB7855">
              <w:rPr>
                <w:rFonts w:ascii="Times New Roman" w:hAnsi="Times New Roman" w:cs="Times New Roman"/>
              </w:rPr>
              <w:t xml:space="preserve">difference between the </w:t>
            </w:r>
            <w:proofErr w:type="gramStart"/>
            <w:r w:rsidR="00BB7855" w:rsidRPr="00BB7855">
              <w:rPr>
                <w:rFonts w:ascii="Times New Roman" w:hAnsi="Times New Roman" w:cs="Times New Roman"/>
              </w:rPr>
              <w:t>time</w:t>
            </w:r>
            <w:proofErr w:type="gramEnd"/>
            <w:r w:rsidR="00BB7855" w:rsidRPr="00BB7855">
              <w:rPr>
                <w:rFonts w:ascii="Times New Roman" w:hAnsi="Times New Roman" w:cs="Times New Roman"/>
              </w:rPr>
              <w:t xml:space="preserve"> of</w:t>
            </w:r>
            <w:r w:rsidRPr="00BB7855">
              <w:rPr>
                <w:rFonts w:ascii="Times New Roman" w:hAnsi="Times New Roman" w:cs="Times New Roman"/>
              </w:rPr>
              <w:t xml:space="preserve"> 1</w:t>
            </w:r>
            <w:r w:rsidRPr="00BB785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B7855">
              <w:rPr>
                <w:rFonts w:ascii="Times New Roman" w:hAnsi="Times New Roman" w:cs="Times New Roman"/>
              </w:rPr>
              <w:t xml:space="preserve"> MH clinical sign </w:t>
            </w:r>
            <w:r w:rsidR="00052152" w:rsidRPr="00BB7855">
              <w:rPr>
                <w:rFonts w:ascii="Times New Roman" w:hAnsi="Times New Roman" w:cs="Times New Roman"/>
              </w:rPr>
              <w:t xml:space="preserve">and initial </w:t>
            </w:r>
            <w:proofErr w:type="spellStart"/>
            <w:r w:rsidR="00052152" w:rsidRPr="00BB7855">
              <w:rPr>
                <w:rFonts w:ascii="Times New Roman" w:hAnsi="Times New Roman" w:cs="Times New Roman"/>
              </w:rPr>
              <w:t>dantrolene</w:t>
            </w:r>
            <w:proofErr w:type="spellEnd"/>
            <w:r w:rsidR="00052152" w:rsidRPr="00BB7855">
              <w:rPr>
                <w:rFonts w:ascii="Times New Roman" w:hAnsi="Times New Roman" w:cs="Times New Roman"/>
              </w:rPr>
              <w:t xml:space="preserve"> dose</w:t>
            </w:r>
            <w:r w:rsidRPr="00BB7855">
              <w:rPr>
                <w:rFonts w:ascii="Times New Roman" w:hAnsi="Times New Roman" w:cs="Times New Roman"/>
              </w:rPr>
              <w:t xml:space="preserve">.  Median of 30 minutes for survivors vs. 66 minutes for those </w:t>
            </w:r>
            <w:r w:rsidR="007D24FF" w:rsidRPr="00BB7855">
              <w:rPr>
                <w:rFonts w:ascii="Times New Roman" w:hAnsi="Times New Roman" w:cs="Times New Roman"/>
              </w:rPr>
              <w:t>who died (missing information for</w:t>
            </w:r>
            <w:r w:rsidRPr="00BB7855">
              <w:rPr>
                <w:rFonts w:ascii="Times New Roman" w:hAnsi="Times New Roman" w:cs="Times New Roman"/>
              </w:rPr>
              <w:t xml:space="preserve"> 3 of the 8 who died). </w:t>
            </w:r>
            <w:r w:rsidRPr="00930DCB">
              <w:rPr>
                <w:rFonts w:ascii="Times New Roman" w:hAnsi="Times New Roman" w:cs="Times New Roman"/>
              </w:rPr>
              <w:t xml:space="preserve">However, the power to detect a difference in the timing of the administration of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was very low (only 18%).  Personal communication from M. Larach </w:t>
            </w:r>
            <w:r w:rsidRPr="00930DCB">
              <w:rPr>
                <w:rFonts w:ascii="Times New Roman" w:hAnsi="Times New Roman" w:cs="Times New Roman"/>
              </w:rPr>
              <w:lastRenderedPageBreak/>
              <w:t>on 7/31/17.  Analysis found in cardiac</w:t>
            </w:r>
            <w:r w:rsidR="007D24FF">
              <w:rPr>
                <w:rFonts w:ascii="Times New Roman" w:hAnsi="Times New Roman" w:cs="Times New Roman"/>
              </w:rPr>
              <w:t xml:space="preserve"> </w:t>
            </w:r>
            <w:r w:rsidRPr="00930DCB">
              <w:rPr>
                <w:rFonts w:ascii="Times New Roman" w:hAnsi="Times New Roman" w:cs="Times New Roman"/>
              </w:rPr>
              <w:t>arrest</w:t>
            </w:r>
            <w:r w:rsidR="001F4818" w:rsidRPr="00930DCB">
              <w:rPr>
                <w:rFonts w:ascii="Times New Roman" w:hAnsi="Times New Roman" w:cs="Times New Roman"/>
              </w:rPr>
              <w:t xml:space="preserve"> </w:t>
            </w:r>
            <w:r w:rsidRPr="00930DCB">
              <w:rPr>
                <w:rFonts w:ascii="Times New Roman" w:hAnsi="Times New Roman" w:cs="Times New Roman"/>
              </w:rPr>
              <w:t>2</w:t>
            </w:r>
            <w:r w:rsidR="001F4818" w:rsidRPr="00930DCB">
              <w:rPr>
                <w:rFonts w:ascii="Times New Roman" w:hAnsi="Times New Roman" w:cs="Times New Roman"/>
              </w:rPr>
              <w:t>0</w:t>
            </w:r>
            <w:r w:rsidRPr="00930DCB">
              <w:rPr>
                <w:rFonts w:ascii="Times New Roman" w:hAnsi="Times New Roman" w:cs="Times New Roman"/>
              </w:rPr>
              <w:t>10</w:t>
            </w:r>
            <w:r w:rsidR="001F4818" w:rsidRPr="00930DCB">
              <w:rPr>
                <w:rFonts w:ascii="Times New Roman" w:hAnsi="Times New Roman" w:cs="Times New Roman"/>
              </w:rPr>
              <w:t>-</w:t>
            </w:r>
            <w:r w:rsidRPr="00930DCB">
              <w:rPr>
                <w:rFonts w:ascii="Times New Roman" w:hAnsi="Times New Roman" w:cs="Times New Roman"/>
              </w:rPr>
              <w:t xml:space="preserve">2113comparisons.pdf in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review files of MGL on p. 30 and 36 of the files.  Power calculations from email from E. Lehman to M Larach on 10/9.13.</w:t>
            </w:r>
          </w:p>
          <w:p w14:paraId="2AF7903A" w14:textId="45C30D31" w:rsidR="00084773" w:rsidRPr="00930DCB" w:rsidRDefault="00084773" w:rsidP="007D24FF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  <w:i/>
              </w:rPr>
              <w:t>Raw data available to do this analysis in published excel supplement file (070714PMsupplement-2.xlsx}.</w:t>
            </w:r>
            <w:r w:rsidR="00337647" w:rsidRPr="00930DCB">
              <w:rPr>
                <w:rFonts w:ascii="Times New Roman" w:hAnsi="Times New Roman" w:cs="Times New Roman"/>
                <w:i/>
              </w:rPr>
              <w:t xml:space="preserve">  </w:t>
            </w:r>
            <w:r w:rsidR="00337647" w:rsidRPr="00930DCB">
              <w:rPr>
                <w:rFonts w:ascii="Times New Roman" w:hAnsi="Times New Roman" w:cs="Times New Roman"/>
              </w:rPr>
              <w:t xml:space="preserve">Total dose of </w:t>
            </w:r>
            <w:proofErr w:type="spellStart"/>
            <w:r w:rsidR="00337647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337647" w:rsidRPr="00930DCB">
              <w:rPr>
                <w:rFonts w:ascii="Times New Roman" w:hAnsi="Times New Roman" w:cs="Times New Roman"/>
              </w:rPr>
              <w:t xml:space="preserve"> for 59 MH patients </w:t>
            </w:r>
            <w:r w:rsidR="00726212" w:rsidRPr="00930DCB">
              <w:rPr>
                <w:rFonts w:ascii="Times New Roman" w:hAnsi="Times New Roman" w:cs="Times New Roman"/>
              </w:rPr>
              <w:t xml:space="preserve">irrespective of outcome </w:t>
            </w:r>
            <w:r w:rsidR="00337647" w:rsidRPr="00930DCB">
              <w:rPr>
                <w:rFonts w:ascii="Times New Roman" w:hAnsi="Times New Roman" w:cs="Times New Roman"/>
              </w:rPr>
              <w:t xml:space="preserve">(25 with missing data) was median of </w:t>
            </w:r>
            <w:r w:rsidR="00726212" w:rsidRPr="00930DCB">
              <w:rPr>
                <w:rFonts w:ascii="Times New Roman" w:hAnsi="Times New Roman" w:cs="Times New Roman"/>
              </w:rPr>
              <w:t xml:space="preserve">7.0 </w:t>
            </w:r>
            <w:r w:rsidR="00726212" w:rsidRPr="00930DCB">
              <w:rPr>
                <w:rFonts w:ascii="Times New Roman" w:hAnsi="Times New Roman" w:cs="Times New Roman"/>
              </w:rPr>
              <w:lastRenderedPageBreak/>
              <w:t>mg/kg (</w:t>
            </w:r>
            <w:r w:rsidR="00337647" w:rsidRPr="00930DCB">
              <w:rPr>
                <w:rFonts w:ascii="Times New Roman" w:hAnsi="Times New Roman" w:cs="Times New Roman"/>
              </w:rPr>
              <w:t>467 mg</w:t>
            </w:r>
            <w:r w:rsidR="00726212" w:rsidRPr="00930DCB">
              <w:rPr>
                <w:rFonts w:ascii="Times New Roman" w:hAnsi="Times New Roman" w:cs="Times New Roman"/>
              </w:rPr>
              <w:t>)</w:t>
            </w:r>
            <w:r w:rsidR="00337647" w:rsidRPr="00930DCB">
              <w:rPr>
                <w:rFonts w:ascii="Times New Roman" w:hAnsi="Times New Roman" w:cs="Times New Roman"/>
              </w:rPr>
              <w:t xml:space="preserve"> with a lower quartile of </w:t>
            </w:r>
            <w:r w:rsidR="00726212" w:rsidRPr="00930DCB">
              <w:rPr>
                <w:rFonts w:ascii="Times New Roman" w:hAnsi="Times New Roman" w:cs="Times New Roman"/>
              </w:rPr>
              <w:t>3.0 mg/kg (</w:t>
            </w:r>
            <w:r w:rsidR="00337647" w:rsidRPr="00930DCB">
              <w:rPr>
                <w:rFonts w:ascii="Times New Roman" w:hAnsi="Times New Roman" w:cs="Times New Roman"/>
              </w:rPr>
              <w:t>180 mg</w:t>
            </w:r>
            <w:r w:rsidR="00726212" w:rsidRPr="00930DCB">
              <w:rPr>
                <w:rFonts w:ascii="Times New Roman" w:hAnsi="Times New Roman" w:cs="Times New Roman"/>
              </w:rPr>
              <w:t>)</w:t>
            </w:r>
            <w:r w:rsidR="00337647" w:rsidRPr="00930DCB">
              <w:rPr>
                <w:rFonts w:ascii="Times New Roman" w:hAnsi="Times New Roman" w:cs="Times New Roman"/>
              </w:rPr>
              <w:t xml:space="preserve"> and an upper quartile of </w:t>
            </w:r>
            <w:r w:rsidR="00726212" w:rsidRPr="00930DCB">
              <w:rPr>
                <w:rFonts w:ascii="Times New Roman" w:hAnsi="Times New Roman" w:cs="Times New Roman"/>
              </w:rPr>
              <w:t>10.0 mg/kg (</w:t>
            </w:r>
            <w:r w:rsidR="00337647" w:rsidRPr="00930DCB">
              <w:rPr>
                <w:rFonts w:ascii="Times New Roman" w:hAnsi="Times New Roman" w:cs="Times New Roman"/>
              </w:rPr>
              <w:t>810 mg</w:t>
            </w:r>
            <w:r w:rsidR="00726212" w:rsidRPr="00930DCB">
              <w:rPr>
                <w:rFonts w:ascii="Times New Roman" w:hAnsi="Times New Roman" w:cs="Times New Roman"/>
              </w:rPr>
              <w:t>)</w:t>
            </w:r>
            <w:r w:rsidR="00337647" w:rsidRPr="00930DCB">
              <w:rPr>
                <w:rFonts w:ascii="Times New Roman" w:hAnsi="Times New Roman" w:cs="Times New Roman"/>
              </w:rPr>
              <w:t xml:space="preserve">, range </w:t>
            </w:r>
            <w:r w:rsidR="00726212" w:rsidRPr="00930DCB">
              <w:rPr>
                <w:rFonts w:ascii="Times New Roman" w:hAnsi="Times New Roman" w:cs="Times New Roman"/>
              </w:rPr>
              <w:t>1.01 mg/kg (</w:t>
            </w:r>
            <w:r w:rsidR="00337647" w:rsidRPr="00930DCB">
              <w:rPr>
                <w:rFonts w:ascii="Times New Roman" w:hAnsi="Times New Roman" w:cs="Times New Roman"/>
              </w:rPr>
              <w:t>48 mg</w:t>
            </w:r>
            <w:proofErr w:type="gramStart"/>
            <w:r w:rsidR="00726212" w:rsidRPr="00930DCB">
              <w:rPr>
                <w:rFonts w:ascii="Times New Roman" w:hAnsi="Times New Roman" w:cs="Times New Roman"/>
              </w:rPr>
              <w:t xml:space="preserve">) </w:t>
            </w:r>
            <w:r w:rsidR="00337647" w:rsidRPr="00930DCB">
              <w:rPr>
                <w:rFonts w:ascii="Times New Roman" w:hAnsi="Times New Roman" w:cs="Times New Roman"/>
              </w:rPr>
              <w:t xml:space="preserve"> to</w:t>
            </w:r>
            <w:proofErr w:type="gramEnd"/>
            <w:r w:rsidR="00337647" w:rsidRPr="00930DCB">
              <w:rPr>
                <w:rFonts w:ascii="Times New Roman" w:hAnsi="Times New Roman" w:cs="Times New Roman"/>
              </w:rPr>
              <w:t xml:space="preserve"> </w:t>
            </w:r>
            <w:r w:rsidR="00726212" w:rsidRPr="00930DCB">
              <w:rPr>
                <w:rFonts w:ascii="Times New Roman" w:hAnsi="Times New Roman" w:cs="Times New Roman"/>
              </w:rPr>
              <w:t>16.71 mg/kg (</w:t>
            </w:r>
            <w:r w:rsidR="00337647" w:rsidRPr="00930DCB">
              <w:rPr>
                <w:rFonts w:ascii="Times New Roman" w:hAnsi="Times New Roman" w:cs="Times New Roman"/>
              </w:rPr>
              <w:t>1,700 mg</w:t>
            </w:r>
            <w:r w:rsidR="00726212" w:rsidRPr="00930DCB">
              <w:rPr>
                <w:rFonts w:ascii="Times New Roman" w:hAnsi="Times New Roman" w:cs="Times New Roman"/>
              </w:rPr>
              <w:t>)</w:t>
            </w:r>
            <w:r w:rsidR="00337647" w:rsidRPr="00930DCB">
              <w:rPr>
                <w:rFonts w:ascii="Times New Roman" w:hAnsi="Times New Roman" w:cs="Times New Roman"/>
              </w:rPr>
              <w:t>.</w:t>
            </w:r>
            <w:r w:rsidR="0028694D" w:rsidRPr="00930DCB">
              <w:rPr>
                <w:rFonts w:ascii="Times New Roman" w:hAnsi="Times New Roman" w:cs="Times New Roman"/>
              </w:rPr>
              <w:t xml:space="preserve">  Personal communication from </w:t>
            </w:r>
            <w:r w:rsidR="007D24FF">
              <w:rPr>
                <w:rFonts w:ascii="Times New Roman" w:hAnsi="Times New Roman" w:cs="Times New Roman"/>
              </w:rPr>
              <w:t xml:space="preserve">Marilyn Green Larach, M.D., F.A.A.P. </w:t>
            </w:r>
            <w:r w:rsidR="0028694D" w:rsidRPr="00930DCB">
              <w:rPr>
                <w:rFonts w:ascii="Times New Roman" w:hAnsi="Times New Roman" w:cs="Times New Roman"/>
              </w:rPr>
              <w:t>on 2/23/18 based on data from cardiacarrest2datasetsummary-22.pdf.</w:t>
            </w:r>
          </w:p>
        </w:tc>
        <w:tc>
          <w:tcPr>
            <w:tcW w:w="1620" w:type="dxa"/>
          </w:tcPr>
          <w:p w14:paraId="7664C900" w14:textId="717794ED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‘</w:t>
            </w:r>
            <w:proofErr w:type="gramStart"/>
            <w:r w:rsidRPr="00930DCB">
              <w:rPr>
                <w:rFonts w:ascii="Times New Roman" w:hAnsi="Times New Roman" w:cs="Times New Roman"/>
              </w:rPr>
              <w:t>very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likely’ or ‘almost certain’ MH event</w:t>
            </w:r>
            <w:r w:rsidR="0061230C" w:rsidRPr="00930DCB">
              <w:rPr>
                <w:rFonts w:ascii="Times New Roman" w:hAnsi="Times New Roman" w:cs="Times New Roman"/>
              </w:rPr>
              <w:t xml:space="preserve">.  For 6 of the 8 MH deaths, </w:t>
            </w:r>
            <w:proofErr w:type="spellStart"/>
            <w:r w:rsidR="0061230C" w:rsidRPr="00930DCB">
              <w:rPr>
                <w:rFonts w:ascii="Times New Roman" w:hAnsi="Times New Roman" w:cs="Times New Roman"/>
              </w:rPr>
              <w:t>geneotyping</w:t>
            </w:r>
            <w:proofErr w:type="spellEnd"/>
            <w:r w:rsidR="0061230C" w:rsidRPr="00930DCB">
              <w:rPr>
                <w:rFonts w:ascii="Times New Roman" w:hAnsi="Times New Roman" w:cs="Times New Roman"/>
              </w:rPr>
              <w:t xml:space="preserve"> was performed</w:t>
            </w:r>
            <w:r w:rsidR="00EF264C" w:rsidRPr="00930DCB">
              <w:rPr>
                <w:rFonts w:ascii="Times New Roman" w:hAnsi="Times New Roman" w:cs="Times New Roman"/>
              </w:rPr>
              <w:t xml:space="preserve"> with 4</w:t>
            </w:r>
            <w:r w:rsidR="004E42D5" w:rsidRPr="00930DCB">
              <w:rPr>
                <w:rFonts w:ascii="Times New Roman" w:hAnsi="Times New Roman" w:cs="Times New Roman"/>
              </w:rPr>
              <w:t xml:space="preserve"> M</w:t>
            </w:r>
            <w:r w:rsidR="00EF264C" w:rsidRPr="00930DCB">
              <w:rPr>
                <w:rFonts w:ascii="Times New Roman" w:hAnsi="Times New Roman" w:cs="Times New Roman"/>
              </w:rPr>
              <w:t>H-</w:t>
            </w:r>
            <w:proofErr w:type="spellStart"/>
            <w:r w:rsidR="00EF264C" w:rsidRPr="00930DCB">
              <w:rPr>
                <w:rFonts w:ascii="Times New Roman" w:hAnsi="Times New Roman" w:cs="Times New Roman"/>
              </w:rPr>
              <w:t>casuative</w:t>
            </w:r>
            <w:proofErr w:type="spellEnd"/>
            <w:r w:rsidR="00EF264C" w:rsidRPr="00930DCB">
              <w:rPr>
                <w:rFonts w:ascii="Times New Roman" w:hAnsi="Times New Roman" w:cs="Times New Roman"/>
              </w:rPr>
              <w:t xml:space="preserve"> RYR1 mutations and </w:t>
            </w:r>
            <w:r w:rsidR="00EF264C" w:rsidRPr="00930DCB">
              <w:rPr>
                <w:rFonts w:ascii="Times New Roman" w:hAnsi="Times New Roman" w:cs="Times New Roman"/>
              </w:rPr>
              <w:lastRenderedPageBreak/>
              <w:t>2</w:t>
            </w:r>
            <w:r w:rsidR="004E42D5" w:rsidRPr="00930DCB">
              <w:rPr>
                <w:rFonts w:ascii="Times New Roman" w:hAnsi="Times New Roman" w:cs="Times New Roman"/>
              </w:rPr>
              <w:t xml:space="preserve"> RYR1 variants of uncertain significance.</w:t>
            </w:r>
            <w:r w:rsidR="00EF264C" w:rsidRPr="00930DCB">
              <w:rPr>
                <w:rFonts w:ascii="Times New Roman" w:hAnsi="Times New Roman" w:cs="Times New Roman"/>
              </w:rPr>
              <w:t xml:space="preserve">  (The Arg2508His mutation is now recognized to be MH causative. #30 on the EMHG</w:t>
            </w:r>
            <w:r w:rsidR="00ED5866">
              <w:rPr>
                <w:rFonts w:ascii="Times New Roman" w:hAnsi="Times New Roman" w:cs="Times New Roman"/>
              </w:rPr>
              <w:t>¶</w:t>
            </w:r>
            <w:r w:rsidR="00EF264C" w:rsidRPr="00930DCB">
              <w:rPr>
                <w:rFonts w:ascii="Times New Roman" w:hAnsi="Times New Roman" w:cs="Times New Roman"/>
              </w:rPr>
              <w:t xml:space="preserve"> list.)</w:t>
            </w:r>
          </w:p>
        </w:tc>
        <w:tc>
          <w:tcPr>
            <w:tcW w:w="1170" w:type="dxa"/>
          </w:tcPr>
          <w:p w14:paraId="137FED3A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>Not applicable</w:t>
            </w:r>
          </w:p>
        </w:tc>
        <w:tc>
          <w:tcPr>
            <w:tcW w:w="1260" w:type="dxa"/>
          </w:tcPr>
          <w:p w14:paraId="2DBC9706" w14:textId="26E67086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NAMHR data for AMRAs received from 1/1/2007 through 12/31/2012 Reporting and recall bias; selection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bias </w:t>
            </w:r>
          </w:p>
          <w:p w14:paraId="36FA8990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Not classic case control study and confounding is present;</w:t>
            </w:r>
          </w:p>
          <w:p w14:paraId="447C1E9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“</w:t>
            </w:r>
            <w:proofErr w:type="gramStart"/>
            <w:r w:rsidRPr="00930DCB">
              <w:rPr>
                <w:rFonts w:ascii="Times New Roman" w:hAnsi="Times New Roman" w:cs="Times New Roman"/>
              </w:rPr>
              <w:t>associations</w:t>
            </w:r>
            <w:proofErr w:type="gramEnd"/>
            <w:r w:rsidRPr="00930DCB">
              <w:rPr>
                <w:rFonts w:ascii="Times New Roman" w:hAnsi="Times New Roman" w:cs="Times New Roman"/>
              </w:rPr>
              <w:t xml:space="preserve"> do not imply causation”</w:t>
            </w:r>
          </w:p>
          <w:p w14:paraId="68AF9446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2D82B74" w14:textId="597A11D3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lastRenderedPageBreak/>
              <w:t xml:space="preserve">Not published as part of a paper.  Dataset </w:t>
            </w:r>
            <w:r w:rsidR="009B02F5">
              <w:rPr>
                <w:rFonts w:ascii="Times New Roman" w:hAnsi="Times New Roman" w:cs="Times New Roman"/>
              </w:rPr>
              <w:t xml:space="preserve">for </w:t>
            </w:r>
            <w:proofErr w:type="spellStart"/>
            <w:r w:rsidR="009B02F5">
              <w:rPr>
                <w:rFonts w:ascii="Times New Roman" w:hAnsi="Times New Roman" w:cs="Times New Roman"/>
              </w:rPr>
              <w:t>Anesth</w:t>
            </w:r>
            <w:proofErr w:type="spellEnd"/>
            <w:r w:rsidR="009B02F5">
              <w:rPr>
                <w:rFonts w:ascii="Times New Roman" w:hAnsi="Times New Roman" w:cs="Times New Roman"/>
              </w:rPr>
              <w:t xml:space="preserve"> Analg 2014; 119:1359-66)  </w:t>
            </w:r>
          </w:p>
          <w:p w14:paraId="2A07DBCE" w14:textId="7149A770" w:rsidR="00084773" w:rsidRPr="00930DCB" w:rsidRDefault="00110A93" w:rsidP="0008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Personal communication from Marilyn </w:t>
            </w:r>
            <w:r w:rsidR="00084773" w:rsidRPr="00930DC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reen</w:t>
            </w:r>
            <w:r w:rsidR="00084773" w:rsidRPr="00930DCB">
              <w:rPr>
                <w:rFonts w:ascii="Times New Roman" w:hAnsi="Times New Roman" w:cs="Times New Roman"/>
              </w:rPr>
              <w:t xml:space="preserve"> Larach</w:t>
            </w:r>
            <w:r>
              <w:rPr>
                <w:rFonts w:ascii="Times New Roman" w:hAnsi="Times New Roman" w:cs="Times New Roman"/>
              </w:rPr>
              <w:t xml:space="preserve"> M.D., F.A.A.P.</w:t>
            </w:r>
            <w:r w:rsidR="00084773" w:rsidRPr="00930DCB">
              <w:rPr>
                <w:rFonts w:ascii="Times New Roman" w:hAnsi="Times New Roman" w:cs="Times New Roman"/>
              </w:rPr>
              <w:t xml:space="preserve"> on June 12, 2016.  Based on reporting of individual completing AMRA.  Usually no hospital charts available to review.</w:t>
            </w:r>
          </w:p>
        </w:tc>
      </w:tr>
      <w:tr w:rsidR="00084773" w:rsidRPr="00930DCB" w14:paraId="610CEFA6" w14:textId="77777777" w:rsidTr="00763845">
        <w:tc>
          <w:tcPr>
            <w:tcW w:w="2448" w:type="dxa"/>
          </w:tcPr>
          <w:p w14:paraId="27F657BF" w14:textId="77777777" w:rsidR="00084773" w:rsidRPr="00930DCB" w:rsidRDefault="00084773">
            <w:pPr>
              <w:rPr>
                <w:rFonts w:ascii="Times New Roman" w:hAnsi="Times New Roman" w:cs="Times New Roman"/>
                <w:b/>
              </w:rPr>
            </w:pPr>
            <w:r w:rsidRPr="00930DCB">
              <w:rPr>
                <w:rFonts w:ascii="Times New Roman" w:hAnsi="Times New Roman" w:cs="Times New Roman"/>
                <w:b/>
              </w:rPr>
              <w:lastRenderedPageBreak/>
              <w:t>Summary</w:t>
            </w:r>
          </w:p>
          <w:p w14:paraId="30910CBC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References </w:t>
            </w:r>
          </w:p>
          <w:p w14:paraId="47A253AD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3970E359" w14:textId="31EEB318" w:rsidR="00084773" w:rsidRPr="00930DCB" w:rsidRDefault="000C20D8" w:rsidP="000847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084773" w:rsidRPr="00930DCB">
              <w:rPr>
                <w:rFonts w:ascii="Times New Roman" w:hAnsi="Times New Roman" w:cs="Times New Roman"/>
              </w:rPr>
              <w:t xml:space="preserve">stablishes role of </w:t>
            </w:r>
            <w:proofErr w:type="spellStart"/>
            <w:r w:rsidR="00084773"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</w:rPr>
              <w:t xml:space="preserve"> in treating MH. Some evidence that sooner administration better. </w:t>
            </w:r>
          </w:p>
          <w:p w14:paraId="3ACE9C75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3550727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1000240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Relevant references that meet protocol=5</w:t>
            </w:r>
          </w:p>
          <w:p w14:paraId="70741276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Only a few of the references above discuss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and mortality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directly; the first reference is the best in that regard; as discussed in this first paper, same is found in other references detailing delay in starting </w:t>
            </w:r>
            <w:proofErr w:type="spellStart"/>
            <w:r w:rsidRPr="00930DCB">
              <w:rPr>
                <w:rFonts w:ascii="Times New Roman" w:hAnsi="Times New Roman" w:cs="Times New Roman"/>
              </w:rPr>
              <w:t>dantrolene</w:t>
            </w:r>
            <w:proofErr w:type="spellEnd"/>
            <w:r w:rsidRPr="00930DCB">
              <w:rPr>
                <w:rFonts w:ascii="Times New Roman" w:hAnsi="Times New Roman" w:cs="Times New Roman"/>
              </w:rPr>
              <w:t xml:space="preserve"> and increased mortality. </w:t>
            </w:r>
          </w:p>
        </w:tc>
        <w:tc>
          <w:tcPr>
            <w:tcW w:w="1890" w:type="dxa"/>
          </w:tcPr>
          <w:p w14:paraId="2FF52FDB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6C39A91E" w14:textId="26166666" w:rsidR="00084773" w:rsidRPr="00930DCB" w:rsidRDefault="009B02F5" w:rsidP="00337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Re: reference #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="00084773" w:rsidRPr="00930DCB">
              <w:rPr>
                <w:rFonts w:ascii="Times New Roman" w:hAnsi="Times New Roman" w:cs="Times New Roman"/>
              </w:rPr>
              <w:t xml:space="preserve">  For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 xml:space="preserve"> small dataset from the Registry (n=84 patients) However, the power to detect a difference was only 18% T</w:t>
            </w:r>
            <w:r w:rsidR="00084773" w:rsidRPr="00930DCB">
              <w:rPr>
                <w:rFonts w:ascii="Times New Roman" w:hAnsi="Times New Roman" w:cs="Times New Roman"/>
                <w:b/>
              </w:rPr>
              <w:t xml:space="preserve">here </w:t>
            </w:r>
            <w:r w:rsidR="00084773" w:rsidRPr="00930DCB">
              <w:rPr>
                <w:rFonts w:ascii="Times New Roman" w:hAnsi="Times New Roman" w:cs="Times New Roman"/>
                <w:b/>
              </w:rPr>
              <w:lastRenderedPageBreak/>
              <w:t xml:space="preserve">was no significant difference in the initial dose of </w:t>
            </w:r>
            <w:proofErr w:type="spellStart"/>
            <w:r w:rsidR="00084773" w:rsidRPr="00930DCB">
              <w:rPr>
                <w:rFonts w:ascii="Times New Roman" w:hAnsi="Times New Roman" w:cs="Times New Roman"/>
                <w:b/>
              </w:rPr>
              <w:t>dantrolene</w:t>
            </w:r>
            <w:proofErr w:type="spellEnd"/>
            <w:r w:rsidR="00084773" w:rsidRPr="00930DCB">
              <w:rPr>
                <w:rFonts w:ascii="Times New Roman" w:hAnsi="Times New Roman" w:cs="Times New Roman"/>
                <w:b/>
              </w:rPr>
              <w:t xml:space="preserve">/kg given to those who died and those who survived.  Median of 2.47 mg/kg for those who survived vs. 2.22 g/kg. </w:t>
            </w:r>
            <w:proofErr w:type="gramStart"/>
            <w:r w:rsidR="00084773" w:rsidRPr="00930DCB">
              <w:rPr>
                <w:rFonts w:ascii="Times New Roman" w:hAnsi="Times New Roman" w:cs="Times New Roman"/>
                <w:b/>
              </w:rPr>
              <w:t>for</w:t>
            </w:r>
            <w:proofErr w:type="gramEnd"/>
            <w:r w:rsidR="00084773" w:rsidRPr="00930DCB">
              <w:rPr>
                <w:rFonts w:ascii="Times New Roman" w:hAnsi="Times New Roman" w:cs="Times New Roman"/>
                <w:b/>
              </w:rPr>
              <w:t xml:space="preserve"> those who died.  Nor was there a significant difference between the </w:t>
            </w:r>
            <w:proofErr w:type="gramStart"/>
            <w:r w:rsidR="00084773" w:rsidRPr="00930DCB">
              <w:rPr>
                <w:rFonts w:ascii="Times New Roman" w:hAnsi="Times New Roman" w:cs="Times New Roman"/>
                <w:b/>
              </w:rPr>
              <w:t>time</w:t>
            </w:r>
            <w:proofErr w:type="gramEnd"/>
            <w:r w:rsidR="00084773" w:rsidRPr="00930DCB">
              <w:rPr>
                <w:rFonts w:ascii="Times New Roman" w:hAnsi="Times New Roman" w:cs="Times New Roman"/>
                <w:b/>
              </w:rPr>
              <w:t xml:space="preserve"> of the 1</w:t>
            </w:r>
            <w:r w:rsidR="00084773" w:rsidRPr="00930DC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084773" w:rsidRPr="00930DCB">
              <w:rPr>
                <w:rFonts w:ascii="Times New Roman" w:hAnsi="Times New Roman" w:cs="Times New Roman"/>
                <w:b/>
              </w:rPr>
              <w:t xml:space="preserve"> MH clinical sign </w:t>
            </w:r>
            <w:r w:rsidR="00052152" w:rsidRPr="00930DCB">
              <w:rPr>
                <w:rFonts w:ascii="Times New Roman" w:hAnsi="Times New Roman" w:cs="Times New Roman"/>
                <w:b/>
              </w:rPr>
              <w:t xml:space="preserve">and the initial </w:t>
            </w:r>
            <w:proofErr w:type="spellStart"/>
            <w:r w:rsidR="00052152" w:rsidRPr="00930DCB">
              <w:rPr>
                <w:rFonts w:ascii="Times New Roman" w:hAnsi="Times New Roman" w:cs="Times New Roman"/>
                <w:b/>
              </w:rPr>
              <w:t>dantrolene</w:t>
            </w:r>
            <w:proofErr w:type="spellEnd"/>
            <w:r w:rsidR="00052152" w:rsidRPr="00930DCB">
              <w:rPr>
                <w:rFonts w:ascii="Times New Roman" w:hAnsi="Times New Roman" w:cs="Times New Roman"/>
                <w:b/>
              </w:rPr>
              <w:t xml:space="preserve"> dose</w:t>
            </w:r>
            <w:r w:rsidR="00084773" w:rsidRPr="00930DCB">
              <w:rPr>
                <w:rFonts w:ascii="Times New Roman" w:hAnsi="Times New Roman" w:cs="Times New Roman"/>
                <w:b/>
              </w:rPr>
              <w:t xml:space="preserve">.  Median of 30 minutes for survivors vs. 66 minutes for those who died (missing information of 3 </w:t>
            </w:r>
            <w:r w:rsidR="00084773" w:rsidRPr="00930DCB">
              <w:rPr>
                <w:rFonts w:ascii="Times New Roman" w:hAnsi="Times New Roman" w:cs="Times New Roman"/>
                <w:b/>
              </w:rPr>
              <w:lastRenderedPageBreak/>
              <w:t>of the 8 who died).</w:t>
            </w:r>
            <w:r w:rsidR="00D1624B" w:rsidRPr="00930DCB">
              <w:rPr>
                <w:rFonts w:ascii="Times New Roman" w:hAnsi="Times New Roman" w:cs="Times New Roman"/>
                <w:b/>
              </w:rPr>
              <w:t xml:space="preserve">  </w:t>
            </w:r>
            <w:r w:rsidR="00337647" w:rsidRPr="00930DCB">
              <w:rPr>
                <w:rFonts w:ascii="Times New Roman" w:hAnsi="Times New Roman" w:cs="Times New Roman"/>
                <w:b/>
              </w:rPr>
              <w:t>For earlier NAMHR dataset, the t</w:t>
            </w:r>
            <w:r w:rsidR="00D1624B" w:rsidRPr="00930DCB">
              <w:rPr>
                <w:rFonts w:ascii="Times New Roman" w:hAnsi="Times New Roman" w:cs="Times New Roman"/>
                <w:b/>
              </w:rPr>
              <w:t xml:space="preserve">otal </w:t>
            </w:r>
            <w:proofErr w:type="spellStart"/>
            <w:r w:rsidR="00D1624B" w:rsidRPr="00930DCB">
              <w:rPr>
                <w:rFonts w:ascii="Times New Roman" w:hAnsi="Times New Roman" w:cs="Times New Roman"/>
                <w:b/>
              </w:rPr>
              <w:t>dantrolene</w:t>
            </w:r>
            <w:proofErr w:type="spellEnd"/>
            <w:r w:rsidR="00D1624B" w:rsidRPr="00930DCB">
              <w:rPr>
                <w:rFonts w:ascii="Times New Roman" w:hAnsi="Times New Roman" w:cs="Times New Roman"/>
                <w:b/>
              </w:rPr>
              <w:t xml:space="preserve"> dose for 229 MH patients </w:t>
            </w:r>
            <w:r w:rsidR="00337647" w:rsidRPr="00930DCB">
              <w:rPr>
                <w:rFonts w:ascii="Times New Roman" w:hAnsi="Times New Roman" w:cs="Times New Roman"/>
                <w:b/>
              </w:rPr>
              <w:t xml:space="preserve">(reported to the NAMHR between 1987 through 2006) </w:t>
            </w:r>
            <w:r w:rsidR="00D1624B" w:rsidRPr="00930DCB">
              <w:rPr>
                <w:rFonts w:ascii="Times New Roman" w:hAnsi="Times New Roman" w:cs="Times New Roman"/>
                <w:b/>
              </w:rPr>
              <w:t>regardless of outcome was a median of 6 (1</w:t>
            </w:r>
            <w:r w:rsidR="00D1624B" w:rsidRPr="00930DC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D1624B" w:rsidRPr="00930DCB">
              <w:rPr>
                <w:rFonts w:ascii="Times New Roman" w:hAnsi="Times New Roman" w:cs="Times New Roman"/>
                <w:b/>
              </w:rPr>
              <w:t xml:space="preserve"> quartile 3,3</w:t>
            </w:r>
            <w:r w:rsidR="00D1624B" w:rsidRPr="00930DCB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D1624B" w:rsidRPr="00930DCB">
              <w:rPr>
                <w:rFonts w:ascii="Times New Roman" w:hAnsi="Times New Roman" w:cs="Times New Roman"/>
                <w:b/>
              </w:rPr>
              <w:t xml:space="preserve"> quartile 10) mg/kg</w:t>
            </w:r>
            <w:r w:rsidR="007A2D41" w:rsidRPr="00930DC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0" w:type="dxa"/>
          </w:tcPr>
          <w:p w14:paraId="7B19C574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26B8E02A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Classification of MH Event</w:t>
            </w:r>
          </w:p>
          <w:p w14:paraId="1D7C69D3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48F490D4" w14:textId="27D50222" w:rsidR="00084773" w:rsidRPr="00930DCB" w:rsidRDefault="00ED5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 Larach (</w:t>
            </w:r>
            <w:proofErr w:type="gramStart"/>
            <w:r>
              <w:rPr>
                <w:rFonts w:ascii="Times New Roman" w:hAnsi="Times New Roman" w:cs="Times New Roman"/>
              </w:rPr>
              <w:t>2010)</w:t>
            </w:r>
            <w:r w:rsidR="00084773" w:rsidRPr="00930DCB">
              <w:rPr>
                <w:rFonts w:ascii="Times New Roman" w:hAnsi="Times New Roman" w:cs="Times New Roman"/>
              </w:rPr>
              <w:t>D5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>-D6</w:t>
            </w:r>
          </w:p>
          <w:p w14:paraId="6964F24D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60B05348" w14:textId="20C7CAC7" w:rsidR="00084773" w:rsidRPr="00930DCB" w:rsidRDefault="00ED5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 Larach (</w:t>
            </w:r>
            <w:proofErr w:type="gramStart"/>
            <w:r>
              <w:rPr>
                <w:rFonts w:ascii="Times New Roman" w:hAnsi="Times New Roman" w:cs="Times New Roman"/>
              </w:rPr>
              <w:t>2014)</w:t>
            </w:r>
            <w:r w:rsidR="00084773" w:rsidRPr="00930DCB">
              <w:rPr>
                <w:rFonts w:ascii="Times New Roman" w:hAnsi="Times New Roman" w:cs="Times New Roman"/>
              </w:rPr>
              <w:t>D5</w:t>
            </w:r>
            <w:proofErr w:type="gramEnd"/>
            <w:r w:rsidR="00084773" w:rsidRPr="00930DCB">
              <w:rPr>
                <w:rFonts w:ascii="Times New Roman" w:hAnsi="Times New Roman" w:cs="Times New Roman"/>
              </w:rPr>
              <w:t>-D6</w:t>
            </w:r>
          </w:p>
        </w:tc>
        <w:tc>
          <w:tcPr>
            <w:tcW w:w="1170" w:type="dxa"/>
          </w:tcPr>
          <w:p w14:paraId="6777CCCB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79F86734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Level of Evidence</w:t>
            </w:r>
          </w:p>
          <w:p w14:paraId="499C1F77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056FEF87" w14:textId="77777777" w:rsidR="00084773" w:rsidRPr="00930DCB" w:rsidRDefault="0048428D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3244B29C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1084D6BA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Bias</w:t>
            </w:r>
          </w:p>
          <w:p w14:paraId="532E5F0F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350192D9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186B64DA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Incomplete data possible,</w:t>
            </w:r>
          </w:p>
          <w:p w14:paraId="6B08C6C0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No classic case control </w:t>
            </w:r>
            <w:r w:rsidRPr="00930DCB">
              <w:rPr>
                <w:rFonts w:ascii="Times New Roman" w:hAnsi="Times New Roman" w:cs="Times New Roman"/>
              </w:rPr>
              <w:lastRenderedPageBreak/>
              <w:t>studies</w:t>
            </w:r>
          </w:p>
          <w:p w14:paraId="4ABD9F7F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Reporting and recall bias; selection bias confounding, associations do not imply causality</w:t>
            </w:r>
          </w:p>
        </w:tc>
        <w:tc>
          <w:tcPr>
            <w:tcW w:w="2880" w:type="dxa"/>
          </w:tcPr>
          <w:p w14:paraId="679CACC4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009CCF0C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Comments</w:t>
            </w:r>
          </w:p>
          <w:p w14:paraId="1ABFABCB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462E5992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7B2F1EAC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>References Larach (2004, 2007) primarily US cases.</w:t>
            </w:r>
          </w:p>
          <w:p w14:paraId="59B8B2E8" w14:textId="77777777" w:rsidR="00084773" w:rsidRPr="00930DCB" w:rsidRDefault="00084773">
            <w:pPr>
              <w:rPr>
                <w:rFonts w:ascii="Times New Roman" w:hAnsi="Times New Roman" w:cs="Times New Roman"/>
              </w:rPr>
            </w:pPr>
          </w:p>
          <w:p w14:paraId="1DB44307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</w:p>
          <w:p w14:paraId="277C27BB" w14:textId="77777777" w:rsidR="00084773" w:rsidRPr="00930DCB" w:rsidRDefault="00084773" w:rsidP="00084773">
            <w:pPr>
              <w:rPr>
                <w:rFonts w:ascii="Times New Roman" w:hAnsi="Times New Roman" w:cs="Times New Roman"/>
              </w:rPr>
            </w:pPr>
            <w:r w:rsidRPr="00930DCB">
              <w:rPr>
                <w:rFonts w:ascii="Times New Roman" w:hAnsi="Times New Roman" w:cs="Times New Roman"/>
              </w:rPr>
              <w:t xml:space="preserve">The above references are after a complete review of </w:t>
            </w:r>
            <w:r w:rsidRPr="00930DCB">
              <w:rPr>
                <w:rFonts w:ascii="Times New Roman" w:hAnsi="Times New Roman" w:cs="Times New Roman"/>
              </w:rPr>
              <w:lastRenderedPageBreak/>
              <w:t xml:space="preserve">all references on PubMed, Cochrane data and Medline searches. </w:t>
            </w:r>
          </w:p>
        </w:tc>
      </w:tr>
    </w:tbl>
    <w:p w14:paraId="48528E6B" w14:textId="77777777" w:rsidR="00084773" w:rsidRPr="00930DCB" w:rsidRDefault="00084773"/>
    <w:p w14:paraId="6B21B810" w14:textId="42B9F2E1" w:rsidR="00930DCB" w:rsidRDefault="00ED5866">
      <w:r>
        <w:t>*</w:t>
      </w:r>
      <w:r w:rsidR="00930DCB" w:rsidRPr="00930DCB">
        <w:t>CGS=Clinical Grading Scale</w:t>
      </w:r>
    </w:p>
    <w:p w14:paraId="0927B7EB" w14:textId="266C870C" w:rsidR="00ED5866" w:rsidRDefault="00ED5866">
      <w:r>
        <w:t>**DIC=disseminated intravascular coagulation</w:t>
      </w:r>
    </w:p>
    <w:p w14:paraId="1399368C" w14:textId="3ED7E1FC" w:rsidR="00ED5866" w:rsidRDefault="00ED5866">
      <w:r>
        <w:t>¶EMHG=European Malignant Hyperthermia Group</w:t>
      </w:r>
    </w:p>
    <w:p w14:paraId="53C778A7" w14:textId="77777777" w:rsidR="00ED5866" w:rsidRPr="00930DCB" w:rsidRDefault="00ED5866"/>
    <w:p w14:paraId="079F38C6" w14:textId="77777777" w:rsidR="00084773" w:rsidRPr="00A53B57" w:rsidRDefault="00084773">
      <w:pPr>
        <w:rPr>
          <w:rFonts w:asciiTheme="majorHAnsi" w:hAnsiTheme="majorHAnsi"/>
        </w:rPr>
      </w:pPr>
    </w:p>
    <w:p w14:paraId="0251BA42" w14:textId="77777777" w:rsidR="00084773" w:rsidRPr="00A53B57" w:rsidRDefault="00084773">
      <w:pPr>
        <w:rPr>
          <w:rFonts w:asciiTheme="majorHAnsi" w:hAnsiTheme="majorHAnsi"/>
        </w:rPr>
      </w:pPr>
    </w:p>
    <w:p w14:paraId="14631D8B" w14:textId="77777777" w:rsidR="00B13941" w:rsidRPr="00DC2F63" w:rsidRDefault="00B13941" w:rsidP="00111142"/>
    <w:sectPr w:rsidR="00B13941" w:rsidRPr="00DC2F63" w:rsidSect="00111142">
      <w:headerReference w:type="even" r:id="rId9"/>
      <w:headerReference w:type="default" r:id="rId10"/>
      <w:footnotePr>
        <w:numFmt w:val="chicago"/>
      </w:footnotePr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3356D" w14:textId="77777777" w:rsidR="00110A93" w:rsidRDefault="00110A93" w:rsidP="006D1536">
      <w:r>
        <w:separator/>
      </w:r>
    </w:p>
  </w:endnote>
  <w:endnote w:type="continuationSeparator" w:id="0">
    <w:p w14:paraId="746AD21E" w14:textId="77777777" w:rsidR="00110A93" w:rsidRDefault="00110A93" w:rsidP="006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52EC" w14:textId="77777777" w:rsidR="00110A93" w:rsidRDefault="00110A93" w:rsidP="006D1536">
      <w:r>
        <w:separator/>
      </w:r>
    </w:p>
  </w:footnote>
  <w:footnote w:type="continuationSeparator" w:id="0">
    <w:p w14:paraId="2D732586" w14:textId="77777777" w:rsidR="00110A93" w:rsidRDefault="00110A93" w:rsidP="006D15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21B2" w14:textId="77777777" w:rsidR="00110A93" w:rsidRDefault="00110A93" w:rsidP="006D15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28FDE" w14:textId="77777777" w:rsidR="00110A93" w:rsidRDefault="00110A93" w:rsidP="006D153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54A1F" w14:textId="77777777" w:rsidR="00110A93" w:rsidRDefault="00110A93" w:rsidP="006D15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F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6946BB" w14:textId="77777777" w:rsidR="00110A93" w:rsidRDefault="00110A93" w:rsidP="006D15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8D3"/>
    <w:multiLevelType w:val="hybridMultilevel"/>
    <w:tmpl w:val="C4241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112A7"/>
    <w:multiLevelType w:val="hybridMultilevel"/>
    <w:tmpl w:val="BB74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B64"/>
    <w:multiLevelType w:val="hybridMultilevel"/>
    <w:tmpl w:val="02828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2F1A"/>
    <w:multiLevelType w:val="hybridMultilevel"/>
    <w:tmpl w:val="79E6E77E"/>
    <w:lvl w:ilvl="0" w:tplc="70F83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2181E"/>
    <w:multiLevelType w:val="hybridMultilevel"/>
    <w:tmpl w:val="C3BA4E5A"/>
    <w:lvl w:ilvl="0" w:tplc="448CFF9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E3F94"/>
    <w:multiLevelType w:val="hybridMultilevel"/>
    <w:tmpl w:val="3182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44"/>
    <w:rsid w:val="00001AC0"/>
    <w:rsid w:val="000027F6"/>
    <w:rsid w:val="00002BA4"/>
    <w:rsid w:val="00010D67"/>
    <w:rsid w:val="0001219C"/>
    <w:rsid w:val="00012A72"/>
    <w:rsid w:val="00014A56"/>
    <w:rsid w:val="00016DDD"/>
    <w:rsid w:val="0001734C"/>
    <w:rsid w:val="00022D98"/>
    <w:rsid w:val="00025C64"/>
    <w:rsid w:val="00031237"/>
    <w:rsid w:val="000351DB"/>
    <w:rsid w:val="00037AAF"/>
    <w:rsid w:val="000470F3"/>
    <w:rsid w:val="00050A0C"/>
    <w:rsid w:val="00052152"/>
    <w:rsid w:val="00060F19"/>
    <w:rsid w:val="000632F4"/>
    <w:rsid w:val="000672BA"/>
    <w:rsid w:val="00073C13"/>
    <w:rsid w:val="00076DC2"/>
    <w:rsid w:val="000772F4"/>
    <w:rsid w:val="00084773"/>
    <w:rsid w:val="000904F9"/>
    <w:rsid w:val="00094D18"/>
    <w:rsid w:val="000A0A35"/>
    <w:rsid w:val="000A0BEE"/>
    <w:rsid w:val="000A3252"/>
    <w:rsid w:val="000B2D92"/>
    <w:rsid w:val="000C20D8"/>
    <w:rsid w:val="000C2571"/>
    <w:rsid w:val="000C72F3"/>
    <w:rsid w:val="000D4D69"/>
    <w:rsid w:val="000E54F5"/>
    <w:rsid w:val="000E57D3"/>
    <w:rsid w:val="000F4F4C"/>
    <w:rsid w:val="001013BC"/>
    <w:rsid w:val="00107B29"/>
    <w:rsid w:val="00107BD6"/>
    <w:rsid w:val="00110A93"/>
    <w:rsid w:val="00111142"/>
    <w:rsid w:val="00117C25"/>
    <w:rsid w:val="00120AF8"/>
    <w:rsid w:val="001227E1"/>
    <w:rsid w:val="00134E92"/>
    <w:rsid w:val="0013587E"/>
    <w:rsid w:val="00145100"/>
    <w:rsid w:val="00150AF2"/>
    <w:rsid w:val="0015472F"/>
    <w:rsid w:val="00163FE6"/>
    <w:rsid w:val="00164194"/>
    <w:rsid w:val="00170A27"/>
    <w:rsid w:val="00176208"/>
    <w:rsid w:val="00185E25"/>
    <w:rsid w:val="00190026"/>
    <w:rsid w:val="00190657"/>
    <w:rsid w:val="00193FB4"/>
    <w:rsid w:val="001B04CC"/>
    <w:rsid w:val="001B102C"/>
    <w:rsid w:val="001C4655"/>
    <w:rsid w:val="001C5707"/>
    <w:rsid w:val="001C61BF"/>
    <w:rsid w:val="001D50B9"/>
    <w:rsid w:val="001D75B8"/>
    <w:rsid w:val="001F03C1"/>
    <w:rsid w:val="001F3866"/>
    <w:rsid w:val="001F4818"/>
    <w:rsid w:val="001F52B9"/>
    <w:rsid w:val="00202538"/>
    <w:rsid w:val="0020749B"/>
    <w:rsid w:val="002124F1"/>
    <w:rsid w:val="00214F14"/>
    <w:rsid w:val="0021565E"/>
    <w:rsid w:val="00221D6D"/>
    <w:rsid w:val="00222273"/>
    <w:rsid w:val="0022266B"/>
    <w:rsid w:val="00226C94"/>
    <w:rsid w:val="00226EDF"/>
    <w:rsid w:val="00230872"/>
    <w:rsid w:val="00236D00"/>
    <w:rsid w:val="00241AEA"/>
    <w:rsid w:val="00243710"/>
    <w:rsid w:val="00251F2A"/>
    <w:rsid w:val="0027013D"/>
    <w:rsid w:val="0027474B"/>
    <w:rsid w:val="00277DD7"/>
    <w:rsid w:val="00284AAB"/>
    <w:rsid w:val="00285F7C"/>
    <w:rsid w:val="0028694D"/>
    <w:rsid w:val="002B365A"/>
    <w:rsid w:val="002B3EB8"/>
    <w:rsid w:val="002C4757"/>
    <w:rsid w:val="002C5A0A"/>
    <w:rsid w:val="002E45A7"/>
    <w:rsid w:val="002E7E5D"/>
    <w:rsid w:val="002F40F8"/>
    <w:rsid w:val="002F550B"/>
    <w:rsid w:val="002F6B85"/>
    <w:rsid w:val="00304C5E"/>
    <w:rsid w:val="00304C95"/>
    <w:rsid w:val="00307639"/>
    <w:rsid w:val="0032675C"/>
    <w:rsid w:val="00337647"/>
    <w:rsid w:val="00337AE2"/>
    <w:rsid w:val="0034524F"/>
    <w:rsid w:val="00354589"/>
    <w:rsid w:val="003601CA"/>
    <w:rsid w:val="00361798"/>
    <w:rsid w:val="00372877"/>
    <w:rsid w:val="003800F4"/>
    <w:rsid w:val="00384DF5"/>
    <w:rsid w:val="0038633A"/>
    <w:rsid w:val="003923E2"/>
    <w:rsid w:val="003A2215"/>
    <w:rsid w:val="003A2A49"/>
    <w:rsid w:val="003A6BFC"/>
    <w:rsid w:val="003B1A17"/>
    <w:rsid w:val="003C6BDE"/>
    <w:rsid w:val="003E5EF4"/>
    <w:rsid w:val="003E7FF9"/>
    <w:rsid w:val="003F0152"/>
    <w:rsid w:val="003F1A40"/>
    <w:rsid w:val="00406037"/>
    <w:rsid w:val="0040651C"/>
    <w:rsid w:val="004107A8"/>
    <w:rsid w:val="00410B89"/>
    <w:rsid w:val="00411E48"/>
    <w:rsid w:val="00415EBF"/>
    <w:rsid w:val="0042053B"/>
    <w:rsid w:val="00426163"/>
    <w:rsid w:val="00427E2D"/>
    <w:rsid w:val="004304A4"/>
    <w:rsid w:val="004344B9"/>
    <w:rsid w:val="00435011"/>
    <w:rsid w:val="00441664"/>
    <w:rsid w:val="0046201E"/>
    <w:rsid w:val="0046751F"/>
    <w:rsid w:val="004700F8"/>
    <w:rsid w:val="00471C43"/>
    <w:rsid w:val="004828B6"/>
    <w:rsid w:val="0048428D"/>
    <w:rsid w:val="00485137"/>
    <w:rsid w:val="0049187D"/>
    <w:rsid w:val="00497B46"/>
    <w:rsid w:val="004A224A"/>
    <w:rsid w:val="004A509C"/>
    <w:rsid w:val="004B1156"/>
    <w:rsid w:val="004B56D7"/>
    <w:rsid w:val="004B650A"/>
    <w:rsid w:val="004B76BB"/>
    <w:rsid w:val="004C0939"/>
    <w:rsid w:val="004C2058"/>
    <w:rsid w:val="004D45D2"/>
    <w:rsid w:val="004E09F3"/>
    <w:rsid w:val="004E1578"/>
    <w:rsid w:val="004E1C05"/>
    <w:rsid w:val="004E42D5"/>
    <w:rsid w:val="004F3D14"/>
    <w:rsid w:val="004F4131"/>
    <w:rsid w:val="005028B1"/>
    <w:rsid w:val="00507772"/>
    <w:rsid w:val="005170CC"/>
    <w:rsid w:val="00520EC1"/>
    <w:rsid w:val="0052116A"/>
    <w:rsid w:val="00521328"/>
    <w:rsid w:val="00530036"/>
    <w:rsid w:val="00546A6E"/>
    <w:rsid w:val="00550208"/>
    <w:rsid w:val="005562FE"/>
    <w:rsid w:val="00564A4D"/>
    <w:rsid w:val="00565247"/>
    <w:rsid w:val="0057384E"/>
    <w:rsid w:val="00580373"/>
    <w:rsid w:val="0058149C"/>
    <w:rsid w:val="00583CA7"/>
    <w:rsid w:val="00585542"/>
    <w:rsid w:val="00585BF4"/>
    <w:rsid w:val="005860EA"/>
    <w:rsid w:val="00586C95"/>
    <w:rsid w:val="00587C99"/>
    <w:rsid w:val="00587F02"/>
    <w:rsid w:val="00593072"/>
    <w:rsid w:val="005A596F"/>
    <w:rsid w:val="005A6406"/>
    <w:rsid w:val="005A73F8"/>
    <w:rsid w:val="005B577C"/>
    <w:rsid w:val="005C0CBF"/>
    <w:rsid w:val="005C16BD"/>
    <w:rsid w:val="005C2320"/>
    <w:rsid w:val="005D6C52"/>
    <w:rsid w:val="005D70F1"/>
    <w:rsid w:val="005D742A"/>
    <w:rsid w:val="005E2643"/>
    <w:rsid w:val="005F7842"/>
    <w:rsid w:val="00604DFF"/>
    <w:rsid w:val="00606AC7"/>
    <w:rsid w:val="0061230C"/>
    <w:rsid w:val="00615C20"/>
    <w:rsid w:val="00622F15"/>
    <w:rsid w:val="00632C71"/>
    <w:rsid w:val="00633973"/>
    <w:rsid w:val="006356D6"/>
    <w:rsid w:val="006419DC"/>
    <w:rsid w:val="00643EBD"/>
    <w:rsid w:val="006520B2"/>
    <w:rsid w:val="00664EF4"/>
    <w:rsid w:val="006662A6"/>
    <w:rsid w:val="00675EBF"/>
    <w:rsid w:val="0068217E"/>
    <w:rsid w:val="00687BC7"/>
    <w:rsid w:val="006936C8"/>
    <w:rsid w:val="006939B3"/>
    <w:rsid w:val="0069405A"/>
    <w:rsid w:val="006A3E36"/>
    <w:rsid w:val="006A5D8D"/>
    <w:rsid w:val="006A5DC0"/>
    <w:rsid w:val="006A7A32"/>
    <w:rsid w:val="006B71D6"/>
    <w:rsid w:val="006C2861"/>
    <w:rsid w:val="006C6D41"/>
    <w:rsid w:val="006D1536"/>
    <w:rsid w:val="006D3439"/>
    <w:rsid w:val="006D6964"/>
    <w:rsid w:val="006E306E"/>
    <w:rsid w:val="006E555D"/>
    <w:rsid w:val="006E5BCA"/>
    <w:rsid w:val="006E7024"/>
    <w:rsid w:val="006F1760"/>
    <w:rsid w:val="006F26BA"/>
    <w:rsid w:val="007047FA"/>
    <w:rsid w:val="007051F1"/>
    <w:rsid w:val="0070574B"/>
    <w:rsid w:val="007107B4"/>
    <w:rsid w:val="00715077"/>
    <w:rsid w:val="007160CB"/>
    <w:rsid w:val="00716C08"/>
    <w:rsid w:val="00725354"/>
    <w:rsid w:val="00726212"/>
    <w:rsid w:val="00731505"/>
    <w:rsid w:val="00737061"/>
    <w:rsid w:val="007419D3"/>
    <w:rsid w:val="00750617"/>
    <w:rsid w:val="007526FF"/>
    <w:rsid w:val="00756EDA"/>
    <w:rsid w:val="00762E4F"/>
    <w:rsid w:val="00763845"/>
    <w:rsid w:val="00765CC3"/>
    <w:rsid w:val="00770133"/>
    <w:rsid w:val="0079308D"/>
    <w:rsid w:val="00797194"/>
    <w:rsid w:val="007A2D41"/>
    <w:rsid w:val="007A3556"/>
    <w:rsid w:val="007A4E85"/>
    <w:rsid w:val="007A7118"/>
    <w:rsid w:val="007B197E"/>
    <w:rsid w:val="007C0A2E"/>
    <w:rsid w:val="007C1ECC"/>
    <w:rsid w:val="007C7D64"/>
    <w:rsid w:val="007D24FF"/>
    <w:rsid w:val="007F162F"/>
    <w:rsid w:val="00805DA9"/>
    <w:rsid w:val="0081617A"/>
    <w:rsid w:val="00821365"/>
    <w:rsid w:val="008220DA"/>
    <w:rsid w:val="00824C86"/>
    <w:rsid w:val="00835A9F"/>
    <w:rsid w:val="00836CC5"/>
    <w:rsid w:val="008434F9"/>
    <w:rsid w:val="00855D68"/>
    <w:rsid w:val="00860FBB"/>
    <w:rsid w:val="00862CF8"/>
    <w:rsid w:val="00863326"/>
    <w:rsid w:val="008707E4"/>
    <w:rsid w:val="008762CD"/>
    <w:rsid w:val="00891BCC"/>
    <w:rsid w:val="00892536"/>
    <w:rsid w:val="008940A6"/>
    <w:rsid w:val="00894118"/>
    <w:rsid w:val="00894E18"/>
    <w:rsid w:val="008A1471"/>
    <w:rsid w:val="008A23FF"/>
    <w:rsid w:val="008A760A"/>
    <w:rsid w:val="008A78B1"/>
    <w:rsid w:val="008B243B"/>
    <w:rsid w:val="008B474D"/>
    <w:rsid w:val="008C3E17"/>
    <w:rsid w:val="008C4395"/>
    <w:rsid w:val="008D0FDB"/>
    <w:rsid w:val="008D1B30"/>
    <w:rsid w:val="008D50B3"/>
    <w:rsid w:val="008E1C7E"/>
    <w:rsid w:val="008E6443"/>
    <w:rsid w:val="00900EF1"/>
    <w:rsid w:val="00901007"/>
    <w:rsid w:val="00905DE1"/>
    <w:rsid w:val="00907AC1"/>
    <w:rsid w:val="00914E32"/>
    <w:rsid w:val="0092027E"/>
    <w:rsid w:val="00920757"/>
    <w:rsid w:val="00927EB4"/>
    <w:rsid w:val="00930DCB"/>
    <w:rsid w:val="009322C6"/>
    <w:rsid w:val="00934288"/>
    <w:rsid w:val="00937E6B"/>
    <w:rsid w:val="00940AC6"/>
    <w:rsid w:val="00944E5C"/>
    <w:rsid w:val="00950408"/>
    <w:rsid w:val="00950868"/>
    <w:rsid w:val="009521A7"/>
    <w:rsid w:val="009545C1"/>
    <w:rsid w:val="009574C4"/>
    <w:rsid w:val="00970B88"/>
    <w:rsid w:val="00971F9A"/>
    <w:rsid w:val="00977DDB"/>
    <w:rsid w:val="00982F7E"/>
    <w:rsid w:val="009839AA"/>
    <w:rsid w:val="00984967"/>
    <w:rsid w:val="009849F5"/>
    <w:rsid w:val="00991F25"/>
    <w:rsid w:val="009967D8"/>
    <w:rsid w:val="009A1D38"/>
    <w:rsid w:val="009A3774"/>
    <w:rsid w:val="009A3BED"/>
    <w:rsid w:val="009B02F5"/>
    <w:rsid w:val="009B1023"/>
    <w:rsid w:val="009B2E70"/>
    <w:rsid w:val="009B3C88"/>
    <w:rsid w:val="009B5ABE"/>
    <w:rsid w:val="009C6214"/>
    <w:rsid w:val="009D037D"/>
    <w:rsid w:val="009E1581"/>
    <w:rsid w:val="009E56F9"/>
    <w:rsid w:val="00A0459D"/>
    <w:rsid w:val="00A05D5F"/>
    <w:rsid w:val="00A11313"/>
    <w:rsid w:val="00A11652"/>
    <w:rsid w:val="00A12A79"/>
    <w:rsid w:val="00A13601"/>
    <w:rsid w:val="00A31D0D"/>
    <w:rsid w:val="00A40B67"/>
    <w:rsid w:val="00A443CE"/>
    <w:rsid w:val="00A52C0C"/>
    <w:rsid w:val="00A56934"/>
    <w:rsid w:val="00A61910"/>
    <w:rsid w:val="00A76076"/>
    <w:rsid w:val="00A806AA"/>
    <w:rsid w:val="00A80FE7"/>
    <w:rsid w:val="00A9303F"/>
    <w:rsid w:val="00A93BBC"/>
    <w:rsid w:val="00AA1620"/>
    <w:rsid w:val="00AA228C"/>
    <w:rsid w:val="00AB7845"/>
    <w:rsid w:val="00AD2266"/>
    <w:rsid w:val="00AD66B3"/>
    <w:rsid w:val="00AE3497"/>
    <w:rsid w:val="00AF72E3"/>
    <w:rsid w:val="00AF7A7F"/>
    <w:rsid w:val="00B00201"/>
    <w:rsid w:val="00B01EE9"/>
    <w:rsid w:val="00B11EF9"/>
    <w:rsid w:val="00B13941"/>
    <w:rsid w:val="00B15F8F"/>
    <w:rsid w:val="00B17D8C"/>
    <w:rsid w:val="00B2180C"/>
    <w:rsid w:val="00B312BC"/>
    <w:rsid w:val="00B31AF6"/>
    <w:rsid w:val="00B321CD"/>
    <w:rsid w:val="00B411D5"/>
    <w:rsid w:val="00B4170D"/>
    <w:rsid w:val="00B4302C"/>
    <w:rsid w:val="00B4422A"/>
    <w:rsid w:val="00B44786"/>
    <w:rsid w:val="00B45220"/>
    <w:rsid w:val="00B4777D"/>
    <w:rsid w:val="00B5186B"/>
    <w:rsid w:val="00B74727"/>
    <w:rsid w:val="00B74A9D"/>
    <w:rsid w:val="00B848B4"/>
    <w:rsid w:val="00B858D6"/>
    <w:rsid w:val="00B8724E"/>
    <w:rsid w:val="00B90185"/>
    <w:rsid w:val="00B92AE8"/>
    <w:rsid w:val="00BA0C9D"/>
    <w:rsid w:val="00BA3278"/>
    <w:rsid w:val="00BB253F"/>
    <w:rsid w:val="00BB7855"/>
    <w:rsid w:val="00BC0A55"/>
    <w:rsid w:val="00BC7B42"/>
    <w:rsid w:val="00BE03EB"/>
    <w:rsid w:val="00BE3AC6"/>
    <w:rsid w:val="00BF0D34"/>
    <w:rsid w:val="00C00AA8"/>
    <w:rsid w:val="00C0582B"/>
    <w:rsid w:val="00C10E47"/>
    <w:rsid w:val="00C14444"/>
    <w:rsid w:val="00C21CCF"/>
    <w:rsid w:val="00C31FCF"/>
    <w:rsid w:val="00C32845"/>
    <w:rsid w:val="00C33C92"/>
    <w:rsid w:val="00C35327"/>
    <w:rsid w:val="00C369F2"/>
    <w:rsid w:val="00C437D0"/>
    <w:rsid w:val="00C44300"/>
    <w:rsid w:val="00C52B75"/>
    <w:rsid w:val="00C530F3"/>
    <w:rsid w:val="00C717C3"/>
    <w:rsid w:val="00C732B7"/>
    <w:rsid w:val="00C74276"/>
    <w:rsid w:val="00C9113A"/>
    <w:rsid w:val="00C92084"/>
    <w:rsid w:val="00C92725"/>
    <w:rsid w:val="00C938AB"/>
    <w:rsid w:val="00C94BB8"/>
    <w:rsid w:val="00CA0667"/>
    <w:rsid w:val="00CA5D96"/>
    <w:rsid w:val="00CB2833"/>
    <w:rsid w:val="00CC0485"/>
    <w:rsid w:val="00CC0F31"/>
    <w:rsid w:val="00CC47BD"/>
    <w:rsid w:val="00CD1478"/>
    <w:rsid w:val="00CD225C"/>
    <w:rsid w:val="00CE1A54"/>
    <w:rsid w:val="00CE5871"/>
    <w:rsid w:val="00CF5137"/>
    <w:rsid w:val="00CF7440"/>
    <w:rsid w:val="00D00B9A"/>
    <w:rsid w:val="00D01DDD"/>
    <w:rsid w:val="00D0347B"/>
    <w:rsid w:val="00D10FDD"/>
    <w:rsid w:val="00D126A0"/>
    <w:rsid w:val="00D1624B"/>
    <w:rsid w:val="00D20410"/>
    <w:rsid w:val="00D32B50"/>
    <w:rsid w:val="00D4115B"/>
    <w:rsid w:val="00D43664"/>
    <w:rsid w:val="00D500A2"/>
    <w:rsid w:val="00D62606"/>
    <w:rsid w:val="00D62771"/>
    <w:rsid w:val="00D6394D"/>
    <w:rsid w:val="00D65765"/>
    <w:rsid w:val="00D7764C"/>
    <w:rsid w:val="00D844D7"/>
    <w:rsid w:val="00D874D9"/>
    <w:rsid w:val="00D93A73"/>
    <w:rsid w:val="00DA18F2"/>
    <w:rsid w:val="00DA67E9"/>
    <w:rsid w:val="00DC0616"/>
    <w:rsid w:val="00DC19D0"/>
    <w:rsid w:val="00DC2F63"/>
    <w:rsid w:val="00DD3F3C"/>
    <w:rsid w:val="00DE2CE0"/>
    <w:rsid w:val="00DF1190"/>
    <w:rsid w:val="00DF4C30"/>
    <w:rsid w:val="00DF731D"/>
    <w:rsid w:val="00E0528B"/>
    <w:rsid w:val="00E14F0A"/>
    <w:rsid w:val="00E171C5"/>
    <w:rsid w:val="00E21249"/>
    <w:rsid w:val="00E21647"/>
    <w:rsid w:val="00E21680"/>
    <w:rsid w:val="00E33A94"/>
    <w:rsid w:val="00E33F39"/>
    <w:rsid w:val="00E47BE0"/>
    <w:rsid w:val="00E67529"/>
    <w:rsid w:val="00E802C5"/>
    <w:rsid w:val="00E80710"/>
    <w:rsid w:val="00E82633"/>
    <w:rsid w:val="00E83512"/>
    <w:rsid w:val="00E84F3F"/>
    <w:rsid w:val="00E87BA9"/>
    <w:rsid w:val="00E9481C"/>
    <w:rsid w:val="00EA12B9"/>
    <w:rsid w:val="00EB4FA7"/>
    <w:rsid w:val="00EB68D9"/>
    <w:rsid w:val="00EB6DA8"/>
    <w:rsid w:val="00EC0576"/>
    <w:rsid w:val="00EC0693"/>
    <w:rsid w:val="00EC6C86"/>
    <w:rsid w:val="00ED5866"/>
    <w:rsid w:val="00ED63B6"/>
    <w:rsid w:val="00EE0D1D"/>
    <w:rsid w:val="00EE4C5E"/>
    <w:rsid w:val="00EF0384"/>
    <w:rsid w:val="00EF264C"/>
    <w:rsid w:val="00EF4593"/>
    <w:rsid w:val="00EF641D"/>
    <w:rsid w:val="00EF7471"/>
    <w:rsid w:val="00F045B3"/>
    <w:rsid w:val="00F13F21"/>
    <w:rsid w:val="00F14E57"/>
    <w:rsid w:val="00F16D88"/>
    <w:rsid w:val="00F23EA9"/>
    <w:rsid w:val="00F35AE7"/>
    <w:rsid w:val="00F35D40"/>
    <w:rsid w:val="00F35F40"/>
    <w:rsid w:val="00F425DF"/>
    <w:rsid w:val="00F427E5"/>
    <w:rsid w:val="00F45946"/>
    <w:rsid w:val="00F56AC8"/>
    <w:rsid w:val="00F7043F"/>
    <w:rsid w:val="00F72A71"/>
    <w:rsid w:val="00F949EF"/>
    <w:rsid w:val="00F967CA"/>
    <w:rsid w:val="00FA2ECB"/>
    <w:rsid w:val="00FB0F58"/>
    <w:rsid w:val="00FC2486"/>
    <w:rsid w:val="00FC5455"/>
    <w:rsid w:val="00FC6F57"/>
    <w:rsid w:val="00FD33BF"/>
    <w:rsid w:val="00FF1C84"/>
    <w:rsid w:val="00FF2B5B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885E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19D3"/>
    <w:pPr>
      <w:jc w:val="center"/>
      <w:outlineLvl w:val="1"/>
    </w:pPr>
    <w:rPr>
      <w:rFonts w:eastAsia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419D3"/>
    <w:rPr>
      <w:rFonts w:eastAsia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rsid w:val="007419D3"/>
    <w:pPr>
      <w:tabs>
        <w:tab w:val="center" w:pos="4320"/>
        <w:tab w:val="right" w:pos="8640"/>
      </w:tabs>
    </w:pPr>
    <w:rPr>
      <w:rFonts w:ascii="Garamond" w:eastAsia="Times New Roman" w:hAnsi="Garamond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7419D3"/>
    <w:rPr>
      <w:rFonts w:ascii="Garamond" w:eastAsia="Times New Roman" w:hAnsi="Garamond"/>
      <w:color w:val="008000"/>
      <w:w w:val="120"/>
      <w:sz w:val="24"/>
      <w:szCs w:val="24"/>
      <w:lang w:val="en-CA" w:eastAsia="en-US"/>
    </w:rPr>
  </w:style>
  <w:style w:type="table" w:styleId="TableGrid">
    <w:name w:val="Table Grid"/>
    <w:basedOn w:val="TableNormal"/>
    <w:uiPriority w:val="59"/>
    <w:rsid w:val="000672BA"/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672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C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1536"/>
  </w:style>
  <w:style w:type="paragraph" w:styleId="Footer">
    <w:name w:val="footer"/>
    <w:basedOn w:val="Normal"/>
    <w:link w:val="FooterChar"/>
    <w:uiPriority w:val="99"/>
    <w:unhideWhenUsed/>
    <w:rsid w:val="00622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1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20410"/>
  </w:style>
  <w:style w:type="character" w:customStyle="1" w:styleId="FootnoteTextChar">
    <w:name w:val="Footnote Text Char"/>
    <w:basedOn w:val="DefaultParagraphFont"/>
    <w:link w:val="FootnoteText"/>
    <w:uiPriority w:val="99"/>
    <w:rsid w:val="00D2041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204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01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19D3"/>
    <w:pPr>
      <w:jc w:val="center"/>
      <w:outlineLvl w:val="1"/>
    </w:pPr>
    <w:rPr>
      <w:rFonts w:eastAsia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419D3"/>
    <w:rPr>
      <w:rFonts w:eastAsia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rsid w:val="007419D3"/>
    <w:pPr>
      <w:tabs>
        <w:tab w:val="center" w:pos="4320"/>
        <w:tab w:val="right" w:pos="8640"/>
      </w:tabs>
    </w:pPr>
    <w:rPr>
      <w:rFonts w:ascii="Garamond" w:eastAsia="Times New Roman" w:hAnsi="Garamond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7419D3"/>
    <w:rPr>
      <w:rFonts w:ascii="Garamond" w:eastAsia="Times New Roman" w:hAnsi="Garamond"/>
      <w:color w:val="008000"/>
      <w:w w:val="120"/>
      <w:sz w:val="24"/>
      <w:szCs w:val="24"/>
      <w:lang w:val="en-CA" w:eastAsia="en-US"/>
    </w:rPr>
  </w:style>
  <w:style w:type="table" w:styleId="TableGrid">
    <w:name w:val="Table Grid"/>
    <w:basedOn w:val="TableNormal"/>
    <w:uiPriority w:val="59"/>
    <w:rsid w:val="000672BA"/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672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C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1536"/>
  </w:style>
  <w:style w:type="paragraph" w:styleId="Footer">
    <w:name w:val="footer"/>
    <w:basedOn w:val="Normal"/>
    <w:link w:val="FooterChar"/>
    <w:uiPriority w:val="99"/>
    <w:unhideWhenUsed/>
    <w:rsid w:val="00622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1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20410"/>
  </w:style>
  <w:style w:type="character" w:customStyle="1" w:styleId="FootnoteTextChar">
    <w:name w:val="Footnote Text Char"/>
    <w:basedOn w:val="DefaultParagraphFont"/>
    <w:link w:val="FootnoteText"/>
    <w:uiPriority w:val="99"/>
    <w:rsid w:val="00D2041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204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01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2011</Words>
  <Characters>11466</Characters>
  <Application>Microsoft Macintosh Word</Application>
  <DocSecurity>0</DocSecurity>
  <Lines>95</Lines>
  <Paragraphs>26</Paragraphs>
  <ScaleCrop>false</ScaleCrop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Larach</dc:creator>
  <cp:keywords/>
  <dc:description/>
  <cp:lastModifiedBy>Marilyn Larach</cp:lastModifiedBy>
  <cp:revision>3</cp:revision>
  <cp:lastPrinted>2018-03-04T16:39:00Z</cp:lastPrinted>
  <dcterms:created xsi:type="dcterms:W3CDTF">2018-09-24T15:15:00Z</dcterms:created>
  <dcterms:modified xsi:type="dcterms:W3CDTF">2018-09-24T15:16:00Z</dcterms:modified>
</cp:coreProperties>
</file>