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CB88" w14:textId="4B15BAE1" w:rsidR="00EB080B" w:rsidRDefault="00EB080B" w:rsidP="00EB080B">
      <w:pPr>
        <w:rPr>
          <w:rFonts w:ascii="Times New Roman" w:hAnsi="Times New Roman" w:cs="Times New Roman"/>
          <w:b/>
          <w:bCs/>
          <w:color w:val="000000" w:themeColor="text1"/>
          <w:kern w:val="24"/>
        </w:rPr>
      </w:pPr>
      <w:r w:rsidRPr="005D03D5">
        <w:rPr>
          <w:rFonts w:ascii="Times New Roman" w:hAnsi="Times New Roman" w:cs="Times New Roman"/>
          <w:b/>
          <w:bCs/>
          <w:color w:val="000000" w:themeColor="text1"/>
          <w:kern w:val="24"/>
        </w:rPr>
        <w:t>Supplementary Table 1: Definitions of Acute Kidney Injury, Chronic Kidney Disease and Acute Kidney Disease</w:t>
      </w:r>
    </w:p>
    <w:p w14:paraId="1BAF163E" w14:textId="77777777" w:rsidR="005D03D5" w:rsidRPr="005D03D5" w:rsidRDefault="005D03D5" w:rsidP="00EB080B">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245"/>
        <w:gridCol w:w="3988"/>
        <w:gridCol w:w="3117"/>
      </w:tblGrid>
      <w:tr w:rsidR="005D03D5" w:rsidRPr="005D03D5" w14:paraId="214D8443" w14:textId="77777777" w:rsidTr="005D03D5">
        <w:trPr>
          <w:trHeight w:val="242"/>
        </w:trPr>
        <w:tc>
          <w:tcPr>
            <w:tcW w:w="2245" w:type="dxa"/>
            <w:vMerge w:val="restart"/>
            <w:shd w:val="clear" w:color="auto" w:fill="DEEAF6" w:themeFill="accent5" w:themeFillTint="33"/>
            <w:vAlign w:val="center"/>
          </w:tcPr>
          <w:p w14:paraId="7A8291CB" w14:textId="68D92AFF" w:rsidR="005D03D5" w:rsidRPr="005D03D5" w:rsidRDefault="005D03D5" w:rsidP="005D03D5">
            <w:pPr>
              <w:rPr>
                <w:rFonts w:ascii="Times New Roman" w:hAnsi="Times New Roman" w:cs="Times New Roman"/>
                <w:b/>
              </w:rPr>
            </w:pPr>
            <w:r w:rsidRPr="005D03D5">
              <w:rPr>
                <w:rFonts w:ascii="Times New Roman" w:hAnsi="Times New Roman" w:cs="Times New Roman"/>
                <w:b/>
                <w:sz w:val="20"/>
                <w:szCs w:val="20"/>
              </w:rPr>
              <w:t>Acute Kidney Injury</w:t>
            </w:r>
          </w:p>
        </w:tc>
        <w:tc>
          <w:tcPr>
            <w:tcW w:w="3988" w:type="dxa"/>
            <w:shd w:val="clear" w:color="auto" w:fill="BDD6EE" w:themeFill="accent5" w:themeFillTint="66"/>
          </w:tcPr>
          <w:p w14:paraId="7E200A1C" w14:textId="45B18372" w:rsidR="005D03D5" w:rsidRPr="005D03D5" w:rsidRDefault="005D03D5" w:rsidP="00EB080B">
            <w:pPr>
              <w:spacing w:line="480" w:lineRule="auto"/>
              <w:rPr>
                <w:rFonts w:ascii="Times New Roman" w:hAnsi="Times New Roman" w:cs="Times New Roman"/>
                <w:b/>
                <w:sz w:val="20"/>
                <w:szCs w:val="20"/>
              </w:rPr>
            </w:pPr>
            <w:r w:rsidRPr="005D03D5">
              <w:rPr>
                <w:rFonts w:ascii="Times New Roman" w:hAnsi="Times New Roman" w:cs="Times New Roman"/>
                <w:b/>
                <w:sz w:val="20"/>
                <w:szCs w:val="20"/>
              </w:rPr>
              <w:t>Functional Criteria</w:t>
            </w:r>
          </w:p>
        </w:tc>
        <w:tc>
          <w:tcPr>
            <w:tcW w:w="3117" w:type="dxa"/>
            <w:shd w:val="clear" w:color="auto" w:fill="B4C6E7" w:themeFill="accent1" w:themeFillTint="66"/>
          </w:tcPr>
          <w:p w14:paraId="2E30CDA2" w14:textId="1F513135" w:rsidR="005D03D5" w:rsidRPr="005D03D5" w:rsidRDefault="005D03D5" w:rsidP="00EB080B">
            <w:pPr>
              <w:spacing w:line="480" w:lineRule="auto"/>
              <w:rPr>
                <w:rFonts w:ascii="Times New Roman" w:hAnsi="Times New Roman" w:cs="Times New Roman"/>
                <w:b/>
                <w:sz w:val="20"/>
                <w:szCs w:val="20"/>
              </w:rPr>
            </w:pPr>
            <w:r w:rsidRPr="005D03D5">
              <w:rPr>
                <w:rFonts w:ascii="Times New Roman" w:hAnsi="Times New Roman" w:cs="Times New Roman"/>
                <w:b/>
                <w:sz w:val="20"/>
                <w:szCs w:val="20"/>
              </w:rPr>
              <w:t>Structural Criteria</w:t>
            </w:r>
          </w:p>
        </w:tc>
      </w:tr>
      <w:tr w:rsidR="005D03D5" w:rsidRPr="005D03D5" w14:paraId="487463AB" w14:textId="77777777" w:rsidTr="005D03D5">
        <w:tc>
          <w:tcPr>
            <w:tcW w:w="2245" w:type="dxa"/>
            <w:vMerge/>
            <w:shd w:val="clear" w:color="auto" w:fill="DEEAF6" w:themeFill="accent5" w:themeFillTint="33"/>
          </w:tcPr>
          <w:p w14:paraId="35D7D1F6" w14:textId="3EDB6EBC" w:rsidR="005D03D5" w:rsidRPr="005D03D5" w:rsidRDefault="005D03D5" w:rsidP="005D03D5">
            <w:pPr>
              <w:rPr>
                <w:rFonts w:ascii="Times New Roman" w:hAnsi="Times New Roman" w:cs="Times New Roman"/>
                <w:b/>
                <w:sz w:val="20"/>
                <w:szCs w:val="20"/>
              </w:rPr>
            </w:pPr>
          </w:p>
        </w:tc>
        <w:tc>
          <w:tcPr>
            <w:tcW w:w="3988" w:type="dxa"/>
            <w:shd w:val="clear" w:color="auto" w:fill="BDD6EE" w:themeFill="accent5" w:themeFillTint="66"/>
          </w:tcPr>
          <w:p w14:paraId="339E991E" w14:textId="57072E96" w:rsidR="005D03D5" w:rsidRPr="005D03D5" w:rsidRDefault="005D03D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 xml:space="preserve">Increase in </w:t>
            </w:r>
            <w:proofErr w:type="spellStart"/>
            <w:r w:rsidRPr="005D03D5">
              <w:rPr>
                <w:rFonts w:ascii="Times New Roman" w:hAnsi="Times New Roman" w:cs="Times New Roman"/>
                <w:bCs/>
                <w:sz w:val="20"/>
                <w:szCs w:val="20"/>
              </w:rPr>
              <w:t>sCr</w:t>
            </w:r>
            <w:proofErr w:type="spellEnd"/>
            <w:r w:rsidRPr="005D03D5">
              <w:rPr>
                <w:rFonts w:ascii="Times New Roman" w:hAnsi="Times New Roman" w:cs="Times New Roman"/>
                <w:bCs/>
                <w:sz w:val="20"/>
                <w:szCs w:val="20"/>
              </w:rPr>
              <w:t xml:space="preserve"> by 50% within 7 days, OR increase in </w:t>
            </w:r>
            <w:proofErr w:type="spellStart"/>
            <w:r w:rsidRPr="005D03D5">
              <w:rPr>
                <w:rFonts w:ascii="Times New Roman" w:hAnsi="Times New Roman" w:cs="Times New Roman"/>
                <w:bCs/>
                <w:sz w:val="20"/>
                <w:szCs w:val="20"/>
              </w:rPr>
              <w:t>sCr</w:t>
            </w:r>
            <w:proofErr w:type="spellEnd"/>
            <w:r w:rsidRPr="005D03D5">
              <w:rPr>
                <w:rFonts w:ascii="Times New Roman" w:hAnsi="Times New Roman" w:cs="Times New Roman"/>
                <w:bCs/>
                <w:sz w:val="20"/>
                <w:szCs w:val="20"/>
              </w:rPr>
              <w:t xml:space="preserve"> by 0.3 mg/dl (26.5 µmol/l) within 2 days, OR </w:t>
            </w:r>
            <w:r w:rsidR="006D1E57">
              <w:rPr>
                <w:rFonts w:ascii="Times New Roman" w:hAnsi="Times New Roman" w:cs="Times New Roman"/>
                <w:bCs/>
                <w:sz w:val="20"/>
                <w:szCs w:val="20"/>
              </w:rPr>
              <w:t>o</w:t>
            </w:r>
            <w:r w:rsidRPr="005D03D5">
              <w:rPr>
                <w:rFonts w:ascii="Times New Roman" w:hAnsi="Times New Roman" w:cs="Times New Roman"/>
                <w:bCs/>
                <w:sz w:val="20"/>
                <w:szCs w:val="20"/>
              </w:rPr>
              <w:t>liguria</w:t>
            </w:r>
          </w:p>
        </w:tc>
        <w:tc>
          <w:tcPr>
            <w:tcW w:w="3117" w:type="dxa"/>
            <w:shd w:val="clear" w:color="auto" w:fill="B4C6E7" w:themeFill="accent1" w:themeFillTint="66"/>
          </w:tcPr>
          <w:p w14:paraId="6664EA10" w14:textId="5F53428A" w:rsidR="005D03D5" w:rsidRPr="005D03D5" w:rsidRDefault="005D03D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No criteria</w:t>
            </w:r>
          </w:p>
        </w:tc>
      </w:tr>
      <w:tr w:rsidR="000C45D9" w:rsidRPr="005D03D5" w14:paraId="7F460A8F" w14:textId="77777777" w:rsidTr="005D03D5">
        <w:tc>
          <w:tcPr>
            <w:tcW w:w="2245" w:type="dxa"/>
            <w:shd w:val="clear" w:color="auto" w:fill="DEEAF6" w:themeFill="accent5" w:themeFillTint="33"/>
            <w:vAlign w:val="center"/>
          </w:tcPr>
          <w:p w14:paraId="34207AA0" w14:textId="31E622CF" w:rsidR="000C45D9" w:rsidRPr="005D03D5" w:rsidRDefault="000C45D9" w:rsidP="005D03D5">
            <w:pPr>
              <w:rPr>
                <w:rFonts w:ascii="Times New Roman" w:hAnsi="Times New Roman" w:cs="Times New Roman"/>
                <w:b/>
                <w:sz w:val="20"/>
                <w:szCs w:val="20"/>
              </w:rPr>
            </w:pPr>
            <w:r w:rsidRPr="005D03D5">
              <w:rPr>
                <w:rFonts w:ascii="Times New Roman" w:hAnsi="Times New Roman" w:cs="Times New Roman"/>
                <w:b/>
                <w:sz w:val="20"/>
                <w:szCs w:val="20"/>
              </w:rPr>
              <w:t xml:space="preserve">Chronic </w:t>
            </w:r>
            <w:r w:rsidR="000D27E5" w:rsidRPr="005D03D5">
              <w:rPr>
                <w:rFonts w:ascii="Times New Roman" w:hAnsi="Times New Roman" w:cs="Times New Roman"/>
                <w:b/>
                <w:sz w:val="20"/>
                <w:szCs w:val="20"/>
              </w:rPr>
              <w:t>Kidney Disease</w:t>
            </w:r>
          </w:p>
        </w:tc>
        <w:tc>
          <w:tcPr>
            <w:tcW w:w="3988" w:type="dxa"/>
            <w:shd w:val="clear" w:color="auto" w:fill="BDD6EE" w:themeFill="accent5" w:themeFillTint="66"/>
          </w:tcPr>
          <w:p w14:paraId="5D0D2E5B" w14:textId="797E67EC" w:rsidR="000C45D9" w:rsidRPr="005D03D5" w:rsidRDefault="000D27E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GFR &lt;60 ml/min per 1.73 m² for &gt;3 months</w:t>
            </w:r>
          </w:p>
        </w:tc>
        <w:tc>
          <w:tcPr>
            <w:tcW w:w="3117" w:type="dxa"/>
            <w:shd w:val="clear" w:color="auto" w:fill="B4C6E7" w:themeFill="accent1" w:themeFillTint="66"/>
          </w:tcPr>
          <w:p w14:paraId="5DB837EB" w14:textId="095E070A" w:rsidR="000C45D9" w:rsidRPr="005D03D5" w:rsidRDefault="005D03D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Kidney damage for &gt;3 months</w:t>
            </w:r>
          </w:p>
        </w:tc>
      </w:tr>
      <w:tr w:rsidR="000C45D9" w:rsidRPr="005D03D5" w14:paraId="575B7EAA" w14:textId="77777777" w:rsidTr="005D03D5">
        <w:tc>
          <w:tcPr>
            <w:tcW w:w="2245" w:type="dxa"/>
            <w:shd w:val="clear" w:color="auto" w:fill="DEEAF6" w:themeFill="accent5" w:themeFillTint="33"/>
            <w:vAlign w:val="center"/>
          </w:tcPr>
          <w:p w14:paraId="3D100822" w14:textId="14301F1C" w:rsidR="000C45D9" w:rsidRPr="005D03D5" w:rsidRDefault="000D27E5" w:rsidP="005D03D5">
            <w:pPr>
              <w:rPr>
                <w:rFonts w:ascii="Times New Roman" w:hAnsi="Times New Roman" w:cs="Times New Roman"/>
                <w:b/>
                <w:sz w:val="20"/>
                <w:szCs w:val="20"/>
              </w:rPr>
            </w:pPr>
            <w:r w:rsidRPr="005D03D5">
              <w:rPr>
                <w:rFonts w:ascii="Times New Roman" w:hAnsi="Times New Roman" w:cs="Times New Roman"/>
                <w:b/>
                <w:sz w:val="20"/>
                <w:szCs w:val="20"/>
              </w:rPr>
              <w:t>Acute Kidney Disease</w:t>
            </w:r>
          </w:p>
        </w:tc>
        <w:tc>
          <w:tcPr>
            <w:tcW w:w="3988" w:type="dxa"/>
            <w:shd w:val="clear" w:color="auto" w:fill="BDD6EE" w:themeFill="accent5" w:themeFillTint="66"/>
          </w:tcPr>
          <w:p w14:paraId="2B14E7AE" w14:textId="7F5A8308" w:rsidR="000C45D9" w:rsidRPr="005D03D5" w:rsidRDefault="000D27E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AKI, OR GFR &lt;60ml/min per 1.73</w:t>
            </w:r>
            <w:r w:rsidR="006D1E57">
              <w:rPr>
                <w:rFonts w:ascii="Times New Roman" w:hAnsi="Times New Roman" w:cs="Times New Roman"/>
                <w:bCs/>
                <w:sz w:val="20"/>
                <w:szCs w:val="20"/>
              </w:rPr>
              <w:t>m</w:t>
            </w:r>
            <w:bookmarkStart w:id="0" w:name="_GoBack"/>
            <w:bookmarkEnd w:id="0"/>
            <w:r w:rsidRPr="005D03D5">
              <w:rPr>
                <w:rFonts w:ascii="Times New Roman" w:hAnsi="Times New Roman" w:cs="Times New Roman"/>
                <w:bCs/>
                <w:sz w:val="20"/>
                <w:szCs w:val="20"/>
              </w:rPr>
              <w:t>² for &lt;</w:t>
            </w:r>
            <w:r w:rsidR="005D03D5" w:rsidRPr="005D03D5">
              <w:rPr>
                <w:rFonts w:ascii="Times New Roman" w:hAnsi="Times New Roman" w:cs="Times New Roman"/>
                <w:bCs/>
                <w:sz w:val="20"/>
                <w:szCs w:val="20"/>
              </w:rPr>
              <w:t xml:space="preserve">3 months, OR decrease in GFR by ≥35% or increase in </w:t>
            </w:r>
            <w:proofErr w:type="spellStart"/>
            <w:r w:rsidR="005D03D5" w:rsidRPr="005D03D5">
              <w:rPr>
                <w:rFonts w:ascii="Times New Roman" w:hAnsi="Times New Roman" w:cs="Times New Roman"/>
                <w:bCs/>
                <w:sz w:val="20"/>
                <w:szCs w:val="20"/>
              </w:rPr>
              <w:t>sCr</w:t>
            </w:r>
            <w:proofErr w:type="spellEnd"/>
            <w:r w:rsidR="005D03D5" w:rsidRPr="005D03D5">
              <w:rPr>
                <w:rFonts w:ascii="Times New Roman" w:hAnsi="Times New Roman" w:cs="Times New Roman"/>
                <w:bCs/>
                <w:sz w:val="20"/>
                <w:szCs w:val="20"/>
              </w:rPr>
              <w:t xml:space="preserve"> by </w:t>
            </w:r>
            <w:r w:rsidR="006D1E57">
              <w:rPr>
                <w:rFonts w:ascii="Times New Roman" w:hAnsi="Times New Roman" w:cs="Times New Roman"/>
                <w:bCs/>
                <w:sz w:val="20"/>
                <w:szCs w:val="20"/>
              </w:rPr>
              <w:t>&gt;</w:t>
            </w:r>
            <w:r w:rsidR="005D03D5" w:rsidRPr="005D03D5">
              <w:rPr>
                <w:rFonts w:ascii="Times New Roman" w:hAnsi="Times New Roman" w:cs="Times New Roman"/>
                <w:bCs/>
                <w:sz w:val="20"/>
                <w:szCs w:val="20"/>
              </w:rPr>
              <w:t>50% for &lt;3 months</w:t>
            </w:r>
          </w:p>
        </w:tc>
        <w:tc>
          <w:tcPr>
            <w:tcW w:w="3117" w:type="dxa"/>
            <w:shd w:val="clear" w:color="auto" w:fill="B4C6E7" w:themeFill="accent1" w:themeFillTint="66"/>
          </w:tcPr>
          <w:p w14:paraId="5C08C431" w14:textId="358DEB30" w:rsidR="000C45D9" w:rsidRPr="005D03D5" w:rsidRDefault="005D03D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Kidney damage for &lt;3 months</w:t>
            </w:r>
          </w:p>
        </w:tc>
      </w:tr>
      <w:tr w:rsidR="000C45D9" w:rsidRPr="005D03D5" w14:paraId="443322B4" w14:textId="77777777" w:rsidTr="005D03D5">
        <w:tc>
          <w:tcPr>
            <w:tcW w:w="2245" w:type="dxa"/>
            <w:shd w:val="clear" w:color="auto" w:fill="DEEAF6" w:themeFill="accent5" w:themeFillTint="33"/>
            <w:vAlign w:val="center"/>
          </w:tcPr>
          <w:p w14:paraId="6C172B0E" w14:textId="5AED7A03" w:rsidR="000C45D9" w:rsidRPr="005D03D5" w:rsidRDefault="005D03D5" w:rsidP="005D03D5">
            <w:pPr>
              <w:rPr>
                <w:rFonts w:ascii="Times New Roman" w:hAnsi="Times New Roman" w:cs="Times New Roman"/>
                <w:b/>
                <w:sz w:val="20"/>
                <w:szCs w:val="20"/>
              </w:rPr>
            </w:pPr>
            <w:r w:rsidRPr="005D03D5">
              <w:rPr>
                <w:rFonts w:ascii="Times New Roman" w:hAnsi="Times New Roman" w:cs="Times New Roman"/>
                <w:b/>
                <w:sz w:val="20"/>
                <w:szCs w:val="20"/>
              </w:rPr>
              <w:t>No Known Disease</w:t>
            </w:r>
          </w:p>
        </w:tc>
        <w:tc>
          <w:tcPr>
            <w:tcW w:w="3988" w:type="dxa"/>
            <w:shd w:val="clear" w:color="auto" w:fill="BDD6EE" w:themeFill="accent5" w:themeFillTint="66"/>
          </w:tcPr>
          <w:p w14:paraId="4FDB961F" w14:textId="2992C9F5" w:rsidR="000C45D9" w:rsidRPr="005D03D5" w:rsidRDefault="005D03D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GFR ≥60ml/min per 1.73</w:t>
            </w:r>
            <w:r w:rsidR="006D1E57">
              <w:rPr>
                <w:rFonts w:ascii="Times New Roman" w:hAnsi="Times New Roman" w:cs="Times New Roman"/>
                <w:bCs/>
                <w:sz w:val="20"/>
                <w:szCs w:val="20"/>
              </w:rPr>
              <w:t>m</w:t>
            </w:r>
            <w:r w:rsidRPr="005D03D5">
              <w:rPr>
                <w:rFonts w:ascii="Times New Roman" w:hAnsi="Times New Roman" w:cs="Times New Roman"/>
                <w:bCs/>
                <w:sz w:val="20"/>
                <w:szCs w:val="20"/>
              </w:rPr>
              <w:t xml:space="preserve">² stable </w:t>
            </w:r>
            <w:proofErr w:type="spellStart"/>
            <w:r w:rsidRPr="005D03D5">
              <w:rPr>
                <w:rFonts w:ascii="Times New Roman" w:hAnsi="Times New Roman" w:cs="Times New Roman"/>
                <w:bCs/>
                <w:sz w:val="20"/>
                <w:szCs w:val="20"/>
              </w:rPr>
              <w:t>sCr</w:t>
            </w:r>
            <w:proofErr w:type="spellEnd"/>
          </w:p>
        </w:tc>
        <w:tc>
          <w:tcPr>
            <w:tcW w:w="3117" w:type="dxa"/>
            <w:shd w:val="clear" w:color="auto" w:fill="B4C6E7" w:themeFill="accent1" w:themeFillTint="66"/>
          </w:tcPr>
          <w:p w14:paraId="361AFB9A" w14:textId="5369CDCA" w:rsidR="000C45D9" w:rsidRPr="005D03D5" w:rsidRDefault="005D03D5" w:rsidP="005D03D5">
            <w:pPr>
              <w:spacing w:line="276" w:lineRule="auto"/>
              <w:rPr>
                <w:rFonts w:ascii="Times New Roman" w:hAnsi="Times New Roman" w:cs="Times New Roman"/>
                <w:bCs/>
                <w:sz w:val="20"/>
                <w:szCs w:val="20"/>
              </w:rPr>
            </w:pPr>
            <w:r w:rsidRPr="005D03D5">
              <w:rPr>
                <w:rFonts w:ascii="Times New Roman" w:hAnsi="Times New Roman" w:cs="Times New Roman"/>
                <w:bCs/>
                <w:sz w:val="20"/>
                <w:szCs w:val="20"/>
              </w:rPr>
              <w:t>No damage</w:t>
            </w:r>
          </w:p>
        </w:tc>
      </w:tr>
    </w:tbl>
    <w:p w14:paraId="05B93B3F" w14:textId="26F50D76" w:rsidR="00EB080B" w:rsidRPr="005D03D5" w:rsidRDefault="00EB080B" w:rsidP="00EB080B">
      <w:pPr>
        <w:spacing w:line="480" w:lineRule="auto"/>
        <w:rPr>
          <w:rFonts w:ascii="Times New Roman" w:hAnsi="Times New Roman" w:cs="Times New Roman"/>
          <w:b/>
        </w:rPr>
      </w:pPr>
      <w:r w:rsidRPr="005D03D5">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26865B58" wp14:editId="04F193EF">
                <wp:simplePos x="0" y="0"/>
                <wp:positionH relativeFrom="column">
                  <wp:posOffset>0</wp:posOffset>
                </wp:positionH>
                <wp:positionV relativeFrom="paragraph">
                  <wp:posOffset>4378960</wp:posOffset>
                </wp:positionV>
                <wp:extent cx="11858252" cy="1815882"/>
                <wp:effectExtent l="0" t="0" r="0" b="0"/>
                <wp:wrapNone/>
                <wp:docPr id="4" name="TextBox 3">
                  <a:extLst xmlns:a="http://schemas.openxmlformats.org/drawingml/2006/main">
                    <a:ext uri="{FF2B5EF4-FFF2-40B4-BE49-F238E27FC236}">
                      <a16:creationId xmlns:a16="http://schemas.microsoft.com/office/drawing/2014/main" id="{051904FC-C906-FA4C-9D34-4167540C315E}"/>
                    </a:ext>
                  </a:extLst>
                </wp:docPr>
                <wp:cNvGraphicFramePr/>
                <a:graphic xmlns:a="http://schemas.openxmlformats.org/drawingml/2006/main">
                  <a:graphicData uri="http://schemas.microsoft.com/office/word/2010/wordprocessingShape">
                    <wps:wsp>
                      <wps:cNvSpPr txBox="1"/>
                      <wps:spPr>
                        <a:xfrm>
                          <a:off x="0" y="0"/>
                          <a:ext cx="11858252" cy="1815882"/>
                        </a:xfrm>
                        <a:prstGeom prst="rect">
                          <a:avLst/>
                        </a:prstGeom>
                        <a:noFill/>
                      </wps:spPr>
                      <wps:txbx>
                        <w:txbxContent>
                          <w:p w14:paraId="1E648E58" w14:textId="77777777" w:rsidR="00EB080B" w:rsidRDefault="00EB080B" w:rsidP="00EB080B">
                            <w:pPr>
                              <w:kinsoku w:val="0"/>
                              <w:overflowPunct w:val="0"/>
                              <w:textAlignment w:val="baseline"/>
                            </w:pPr>
                          </w:p>
                        </w:txbxContent>
                      </wps:txbx>
                      <wps:bodyPr wrap="square" rtlCol="0">
                        <a:spAutoFit/>
                      </wps:bodyPr>
                    </wps:wsp>
                  </a:graphicData>
                </a:graphic>
              </wp:anchor>
            </w:drawing>
          </mc:Choice>
          <mc:Fallback>
            <w:pict>
              <v:shapetype w14:anchorId="26865B58" id="_x0000_t202" coordsize="21600,21600" o:spt="202" path="m,l,21600r21600,l21600,xe">
                <v:stroke joinstyle="miter"/>
                <v:path gradientshapeok="t" o:connecttype="rect"/>
              </v:shapetype>
              <v:shape id="TextBox 3" o:spid="_x0000_s1026" type="#_x0000_t202" style="position:absolute;margin-left:0;margin-top:344.8pt;width:933.7pt;height:1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" filled="f" stroked="f">
                <v:textbox style="mso-fit-shape-to-text:t">
                  <w:txbxContent>
                    <w:p w14:paraId="1E648E58" w14:textId="77777777" w:rsidR="00EB080B" w:rsidRDefault="00EB080B" w:rsidP="00EB080B">
                      <w:pPr>
                        <w:kinsoku w:val="0"/>
                        <w:overflowPunct w:val="0"/>
                        <w:textAlignment w:val="baseline"/>
                      </w:pPr>
                    </w:p>
                  </w:txbxContent>
                </v:textbox>
              </v:shape>
            </w:pict>
          </mc:Fallback>
        </mc:AlternateContent>
      </w:r>
    </w:p>
    <w:p w14:paraId="2E228E32" w14:textId="77777777" w:rsidR="00EB080B" w:rsidRPr="005D03D5" w:rsidRDefault="00EB080B" w:rsidP="00EB080B">
      <w:pPr>
        <w:kinsoku w:val="0"/>
        <w:overflowPunct w:val="0"/>
        <w:textAlignment w:val="baseline"/>
        <w:rPr>
          <w:rFonts w:ascii="Times New Roman" w:hAnsi="Times New Roman" w:cs="Times New Roman"/>
          <w:color w:val="000000" w:themeColor="text1"/>
          <w:sz w:val="22"/>
          <w:szCs w:val="22"/>
        </w:rPr>
      </w:pPr>
      <w:r w:rsidRPr="005D03D5">
        <w:rPr>
          <w:rFonts w:ascii="Times New Roman" w:hAnsi="Times New Roman" w:cs="Times New Roman"/>
          <w:color w:val="000000" w:themeColor="text1"/>
          <w:kern w:val="24"/>
          <w:sz w:val="22"/>
          <w:szCs w:val="22"/>
        </w:rPr>
        <w:t>GFR assessed from measured or estimated GFR. Estimated GFR does not reflect measured GFR in AKI as accurately as in CKD. Kidney damage assessed by pathology, urine or blood markers, imaging, and—for CKD—presence of a kidney transplant. NKD indicates no functional or structural criteria according to the definitions for AKI, AKD, or CKD. Clinical judgment is required for individual patient decision-making regarding the extent of evaluation that is necessary to assess kidney function and structure.</w:t>
      </w:r>
    </w:p>
    <w:p w14:paraId="7EB5D161" w14:textId="77777777" w:rsidR="00EB080B" w:rsidRPr="005D03D5" w:rsidRDefault="00EB080B" w:rsidP="00EB080B">
      <w:pPr>
        <w:kinsoku w:val="0"/>
        <w:overflowPunct w:val="0"/>
        <w:textAlignment w:val="baseline"/>
        <w:rPr>
          <w:rFonts w:ascii="Times New Roman" w:hAnsi="Times New Roman" w:cs="Times New Roman"/>
          <w:color w:val="000000" w:themeColor="text1"/>
          <w:kern w:val="24"/>
          <w:sz w:val="22"/>
          <w:szCs w:val="22"/>
        </w:rPr>
      </w:pPr>
    </w:p>
    <w:p w14:paraId="202E5F71" w14:textId="77777777" w:rsidR="00EB080B" w:rsidRPr="005D03D5" w:rsidRDefault="00EB080B" w:rsidP="00EB080B">
      <w:pPr>
        <w:kinsoku w:val="0"/>
        <w:overflowPunct w:val="0"/>
        <w:textAlignment w:val="baseline"/>
        <w:rPr>
          <w:rFonts w:ascii="Times New Roman" w:hAnsi="Times New Roman" w:cs="Times New Roman"/>
          <w:color w:val="000000" w:themeColor="text1"/>
          <w:sz w:val="22"/>
          <w:szCs w:val="22"/>
        </w:rPr>
      </w:pPr>
      <w:r w:rsidRPr="005D03D5">
        <w:rPr>
          <w:rFonts w:ascii="Times New Roman" w:hAnsi="Times New Roman" w:cs="Times New Roman"/>
          <w:color w:val="000000" w:themeColor="text1"/>
          <w:kern w:val="24"/>
          <w:sz w:val="22"/>
          <w:szCs w:val="22"/>
        </w:rPr>
        <w:t xml:space="preserve">AKD, acute kidney diseases and disorders; AKI, acute kidney injury; CKD, chronic kidney disease; GFR, glomerular filtration rate; NKD, no known kidney disease; </w:t>
      </w:r>
      <w:proofErr w:type="spellStart"/>
      <w:r w:rsidRPr="005D03D5">
        <w:rPr>
          <w:rFonts w:ascii="Times New Roman" w:hAnsi="Times New Roman" w:cs="Times New Roman"/>
          <w:color w:val="000000" w:themeColor="text1"/>
          <w:kern w:val="24"/>
          <w:sz w:val="22"/>
          <w:szCs w:val="22"/>
        </w:rPr>
        <w:t>SCr</w:t>
      </w:r>
      <w:proofErr w:type="spellEnd"/>
      <w:r w:rsidRPr="005D03D5">
        <w:rPr>
          <w:rFonts w:ascii="Times New Roman" w:hAnsi="Times New Roman" w:cs="Times New Roman"/>
          <w:color w:val="000000" w:themeColor="text1"/>
          <w:kern w:val="24"/>
          <w:sz w:val="22"/>
          <w:szCs w:val="22"/>
        </w:rPr>
        <w:t xml:space="preserve">, serum creatinine. </w:t>
      </w:r>
    </w:p>
    <w:p w14:paraId="2E10266D" w14:textId="77777777" w:rsidR="00EB080B" w:rsidRPr="005D03D5" w:rsidRDefault="00EB080B" w:rsidP="00EB080B">
      <w:pPr>
        <w:kinsoku w:val="0"/>
        <w:overflowPunct w:val="0"/>
        <w:textAlignment w:val="baseline"/>
        <w:rPr>
          <w:rFonts w:ascii="Times New Roman" w:hAnsi="Times New Roman" w:cs="Times New Roman"/>
          <w:color w:val="000000" w:themeColor="text1"/>
          <w:kern w:val="24"/>
          <w:sz w:val="22"/>
          <w:szCs w:val="22"/>
        </w:rPr>
      </w:pPr>
    </w:p>
    <w:p w14:paraId="3C9EFC2A" w14:textId="77777777" w:rsidR="00EB080B" w:rsidRPr="005D03D5" w:rsidRDefault="00EB080B" w:rsidP="00EB080B">
      <w:pPr>
        <w:kinsoku w:val="0"/>
        <w:overflowPunct w:val="0"/>
        <w:textAlignment w:val="baseline"/>
        <w:rPr>
          <w:rFonts w:ascii="Times New Roman" w:hAnsi="Times New Roman" w:cs="Times New Roman"/>
          <w:color w:val="000000" w:themeColor="text1"/>
          <w:sz w:val="22"/>
          <w:szCs w:val="22"/>
        </w:rPr>
      </w:pPr>
      <w:r w:rsidRPr="005D03D5">
        <w:rPr>
          <w:rFonts w:ascii="Times New Roman" w:hAnsi="Times New Roman" w:cs="Times New Roman"/>
          <w:color w:val="000000" w:themeColor="text1"/>
          <w:kern w:val="24"/>
          <w:sz w:val="22"/>
          <w:szCs w:val="22"/>
        </w:rPr>
        <w:t>Reprinted from Kidney Int. Suppl. (2011). 2012 Mar;2(1):19-36, Table 11</w:t>
      </w:r>
      <w:r w:rsidRPr="005D03D5">
        <w:rPr>
          <w:rFonts w:ascii="Times New Roman" w:hAnsi="Times New Roman" w:cs="Times New Roman"/>
          <w:color w:val="000000" w:themeColor="text1"/>
          <w:spacing w:val="-1"/>
          <w:kern w:val="24"/>
          <w:sz w:val="22"/>
          <w:szCs w:val="22"/>
        </w:rPr>
        <w:t>),</w:t>
      </w:r>
      <w:r w:rsidRPr="005D03D5">
        <w:rPr>
          <w:rFonts w:ascii="Times New Roman" w:hAnsi="Times New Roman" w:cs="Times New Roman"/>
          <w:color w:val="000000" w:themeColor="text1"/>
          <w:kern w:val="24"/>
          <w:sz w:val="22"/>
          <w:szCs w:val="22"/>
        </w:rPr>
        <w:t xml:space="preserve"> </w:t>
      </w:r>
      <w:r w:rsidRPr="005D03D5">
        <w:rPr>
          <w:rFonts w:ascii="Times New Roman" w:hAnsi="Times New Roman" w:cs="Times New Roman"/>
          <w:color w:val="000000" w:themeColor="text1"/>
          <w:spacing w:val="-1"/>
          <w:kern w:val="24"/>
          <w:sz w:val="22"/>
          <w:szCs w:val="22"/>
        </w:rPr>
        <w:t xml:space="preserve">Elsevier. </w:t>
      </w:r>
      <w:r w:rsidRPr="005D03D5">
        <w:rPr>
          <w:rFonts w:ascii="Times New Roman" w:hAnsi="Times New Roman" w:cs="Times New Roman"/>
          <w:color w:val="000000" w:themeColor="text1"/>
          <w:kern w:val="24"/>
          <w:sz w:val="22"/>
          <w:szCs w:val="22"/>
        </w:rPr>
        <w:t>2017</w:t>
      </w:r>
    </w:p>
    <w:p w14:paraId="4DA8E28A" w14:textId="77777777" w:rsidR="00900037" w:rsidRPr="005D03D5" w:rsidRDefault="004E3289">
      <w:pPr>
        <w:rPr>
          <w:rFonts w:ascii="Times New Roman" w:hAnsi="Times New Roman" w:cs="Times New Roman"/>
        </w:rPr>
      </w:pPr>
    </w:p>
    <w:sectPr w:rsidR="00900037" w:rsidRPr="005D03D5" w:rsidSect="007B5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0B"/>
    <w:rsid w:val="000C45D9"/>
    <w:rsid w:val="000D27E5"/>
    <w:rsid w:val="00225492"/>
    <w:rsid w:val="002B706E"/>
    <w:rsid w:val="003A7930"/>
    <w:rsid w:val="00442978"/>
    <w:rsid w:val="004E3289"/>
    <w:rsid w:val="005D03D5"/>
    <w:rsid w:val="006D1E57"/>
    <w:rsid w:val="007B55C7"/>
    <w:rsid w:val="007D5BED"/>
    <w:rsid w:val="00BD5B62"/>
    <w:rsid w:val="00BF5031"/>
    <w:rsid w:val="00CB7F4A"/>
    <w:rsid w:val="00D46D92"/>
    <w:rsid w:val="00EB080B"/>
    <w:rsid w:val="00FE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F47296"/>
  <w15:chartTrackingRefBased/>
  <w15:docId w15:val="{406FE636-F02F-3142-BA5B-352383B8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Wallen, Kelli A</dc:creator>
  <cp:keywords/>
  <dc:description/>
  <cp:lastModifiedBy>Wallen, Kelli A</cp:lastModifiedBy>
  <cp:revision>3</cp:revision>
  <dcterms:created xsi:type="dcterms:W3CDTF">2019-06-05T15:04:00Z</dcterms:created>
  <dcterms:modified xsi:type="dcterms:W3CDTF">2019-06-05T16:20:00Z</dcterms:modified>
</cp:coreProperties>
</file>