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BEAF" w14:textId="6FE206C3" w:rsidR="00127FAE" w:rsidRDefault="00127FAE" w:rsidP="00127FAE">
      <w:pPr>
        <w:spacing w:before="72"/>
        <w:ind w:left="10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>Supplementary Table 4</w:t>
      </w:r>
      <w:r w:rsidRPr="006D7A1A">
        <w:rPr>
          <w:rFonts w:ascii="Times" w:hAnsi="Times"/>
          <w:b/>
          <w:color w:val="000000" w:themeColor="text1"/>
        </w:rPr>
        <w:t>: Interventions for the Prevention of AKI</w:t>
      </w:r>
    </w:p>
    <w:p w14:paraId="4D2A537C" w14:textId="77777777" w:rsidR="00127FAE" w:rsidRPr="006D7A1A" w:rsidRDefault="00127FAE" w:rsidP="00127FAE">
      <w:pPr>
        <w:spacing w:before="72"/>
        <w:ind w:left="100"/>
        <w:rPr>
          <w:rFonts w:ascii="Times" w:hAnsi="Times"/>
          <w:b/>
          <w:color w:val="000000" w:themeColor="text1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1292"/>
        <w:gridCol w:w="1528"/>
        <w:gridCol w:w="4385"/>
      </w:tblGrid>
      <w:tr w:rsidR="00127FAE" w:rsidRPr="00FF7CD5" w14:paraId="021659C3" w14:textId="77777777" w:rsidTr="006618B7">
        <w:trPr>
          <w:trHeight w:val="710"/>
        </w:trPr>
        <w:tc>
          <w:tcPr>
            <w:tcW w:w="1147" w:type="pct"/>
            <w:shd w:val="clear" w:color="auto" w:fill="4471C4"/>
            <w:vAlign w:val="center"/>
          </w:tcPr>
          <w:p w14:paraId="4DF06752" w14:textId="77777777" w:rsidR="00127FAE" w:rsidRPr="00B41FD2" w:rsidRDefault="00127FAE" w:rsidP="006618B7">
            <w:pPr>
              <w:pStyle w:val="TableParagraph"/>
              <w:jc w:val="center"/>
              <w:rPr>
                <w:rFonts w:ascii="Times" w:hAnsi="Times"/>
                <w:b/>
                <w:color w:val="FFFFFF" w:themeColor="background1"/>
                <w:sz w:val="20"/>
              </w:rPr>
            </w:pPr>
            <w:r w:rsidRPr="00B41FD2">
              <w:rPr>
                <w:rFonts w:ascii="Times" w:hAnsi="Times"/>
                <w:b/>
                <w:color w:val="FFFFFF" w:themeColor="background1"/>
                <w:sz w:val="20"/>
              </w:rPr>
              <w:t>Intervention</w:t>
            </w:r>
          </w:p>
        </w:tc>
        <w:tc>
          <w:tcPr>
            <w:tcW w:w="691" w:type="pct"/>
            <w:shd w:val="clear" w:color="auto" w:fill="4471C4"/>
            <w:vAlign w:val="center"/>
          </w:tcPr>
          <w:p w14:paraId="1AB89F44" w14:textId="77777777" w:rsidR="00127FAE" w:rsidRPr="00FF7CD5" w:rsidRDefault="00127FAE" w:rsidP="006618B7">
            <w:pPr>
              <w:pStyle w:val="TableParagraph"/>
              <w:spacing w:before="10"/>
              <w:ind w:right="278"/>
              <w:jc w:val="center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color w:val="FFFFFF"/>
                <w:sz w:val="20"/>
              </w:rPr>
              <w:t>Effect on AKI</w:t>
            </w:r>
            <w:r>
              <w:rPr>
                <w:rFonts w:ascii="Times" w:hAnsi="Times"/>
                <w:b/>
                <w:color w:val="FFFFFF"/>
                <w:sz w:val="20"/>
              </w:rPr>
              <w:t xml:space="preserve"> </w:t>
            </w:r>
            <w:r w:rsidRPr="00FF7CD5">
              <w:rPr>
                <w:rFonts w:ascii="Times" w:hAnsi="Times"/>
                <w:b/>
                <w:color w:val="FFFFFF"/>
                <w:sz w:val="20"/>
              </w:rPr>
              <w:t>incidence</w:t>
            </w:r>
          </w:p>
        </w:tc>
        <w:tc>
          <w:tcPr>
            <w:tcW w:w="817" w:type="pct"/>
            <w:shd w:val="clear" w:color="auto" w:fill="4471C4"/>
            <w:vAlign w:val="center"/>
          </w:tcPr>
          <w:p w14:paraId="37C2AB73" w14:textId="77777777" w:rsidR="00127FAE" w:rsidRPr="00FF7CD5" w:rsidRDefault="00127FAE" w:rsidP="006618B7">
            <w:pPr>
              <w:pStyle w:val="TableParagraph"/>
              <w:spacing w:before="10"/>
              <w:ind w:right="100"/>
              <w:jc w:val="center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color w:val="FFFFFF"/>
                <w:sz w:val="20"/>
              </w:rPr>
              <w:t>Evidence for effect</w:t>
            </w:r>
          </w:p>
        </w:tc>
        <w:tc>
          <w:tcPr>
            <w:tcW w:w="2345" w:type="pct"/>
            <w:shd w:val="clear" w:color="auto" w:fill="4471C4"/>
            <w:vAlign w:val="center"/>
          </w:tcPr>
          <w:p w14:paraId="42383A03" w14:textId="77777777" w:rsidR="00127FAE" w:rsidRPr="00FF7CD5" w:rsidRDefault="00127FAE" w:rsidP="006618B7">
            <w:pPr>
              <w:pStyle w:val="TableParagraph"/>
              <w:spacing w:before="10"/>
              <w:jc w:val="center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color w:val="FFFFFF"/>
                <w:sz w:val="20"/>
              </w:rPr>
              <w:t>Comments</w:t>
            </w:r>
          </w:p>
        </w:tc>
      </w:tr>
      <w:tr w:rsidR="00127FAE" w:rsidRPr="00FF7CD5" w14:paraId="3E12414A" w14:textId="77777777" w:rsidTr="006618B7">
        <w:trPr>
          <w:trHeight w:val="229"/>
        </w:trPr>
        <w:tc>
          <w:tcPr>
            <w:tcW w:w="5000" w:type="pct"/>
            <w:gridSpan w:val="4"/>
            <w:shd w:val="clear" w:color="auto" w:fill="D9E1F3"/>
          </w:tcPr>
          <w:p w14:paraId="2E7E4B0F" w14:textId="77777777" w:rsidR="00127FAE" w:rsidRPr="00FF7CD5" w:rsidRDefault="00127FAE" w:rsidP="006618B7">
            <w:pPr>
              <w:pStyle w:val="TableParagraph"/>
              <w:spacing w:line="209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Contrast-induced AKI</w:t>
            </w:r>
          </w:p>
        </w:tc>
      </w:tr>
      <w:tr w:rsidR="00127FAE" w:rsidRPr="00FF7CD5" w14:paraId="39BA1384" w14:textId="77777777" w:rsidTr="006618B7">
        <w:trPr>
          <w:trHeight w:val="230"/>
        </w:trPr>
        <w:tc>
          <w:tcPr>
            <w:tcW w:w="1147" w:type="pct"/>
          </w:tcPr>
          <w:p w14:paraId="5D5F7F42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Ascorbic acid</w:t>
            </w:r>
          </w:p>
        </w:tc>
        <w:tc>
          <w:tcPr>
            <w:tcW w:w="691" w:type="pct"/>
          </w:tcPr>
          <w:p w14:paraId="33A1FCD7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</w:tcPr>
          <w:p w14:paraId="686D933A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4EB61114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0BEA3842" w14:textId="77777777" w:rsidTr="006618B7">
        <w:trPr>
          <w:trHeight w:val="460"/>
        </w:trPr>
        <w:tc>
          <w:tcPr>
            <w:tcW w:w="1147" w:type="pct"/>
            <w:shd w:val="clear" w:color="auto" w:fill="D9E1F3"/>
          </w:tcPr>
          <w:p w14:paraId="328B9455" w14:textId="77777777" w:rsidR="00127FAE" w:rsidRPr="00FF7CD5" w:rsidRDefault="00127FAE" w:rsidP="006618B7">
            <w:pPr>
              <w:pStyle w:val="TableParagraph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Probucol</w:t>
            </w:r>
          </w:p>
        </w:tc>
        <w:tc>
          <w:tcPr>
            <w:tcW w:w="691" w:type="pct"/>
            <w:shd w:val="clear" w:color="auto" w:fill="D9E1F3"/>
          </w:tcPr>
          <w:p w14:paraId="2FC65181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  <w:shd w:val="clear" w:color="auto" w:fill="D9E1F3"/>
          </w:tcPr>
          <w:p w14:paraId="6631866C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14FEBECB" w14:textId="77777777" w:rsidR="00127FAE" w:rsidRPr="00FF7CD5" w:rsidRDefault="00127FAE" w:rsidP="006618B7">
            <w:pPr>
              <w:pStyle w:val="TableParagraph"/>
              <w:spacing w:line="230" w:lineRule="atLeast"/>
              <w:ind w:left="128" w:right="75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Data restricted to percutaneous coronary intervention setting</w:t>
            </w:r>
          </w:p>
        </w:tc>
      </w:tr>
      <w:tr w:rsidR="00127FAE" w:rsidRPr="00FF7CD5" w14:paraId="73AAA902" w14:textId="77777777" w:rsidTr="006618B7">
        <w:trPr>
          <w:trHeight w:val="229"/>
        </w:trPr>
        <w:tc>
          <w:tcPr>
            <w:tcW w:w="1147" w:type="pct"/>
          </w:tcPr>
          <w:p w14:paraId="337CEC88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Methylxanthine</w:t>
            </w:r>
          </w:p>
        </w:tc>
        <w:tc>
          <w:tcPr>
            <w:tcW w:w="691" w:type="pct"/>
          </w:tcPr>
          <w:p w14:paraId="5A8AEBDB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</w:tcPr>
          <w:p w14:paraId="1E871138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3EAC50F5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305EB405" w14:textId="77777777" w:rsidTr="006618B7">
        <w:trPr>
          <w:trHeight w:val="459"/>
        </w:trPr>
        <w:tc>
          <w:tcPr>
            <w:tcW w:w="1147" w:type="pct"/>
            <w:shd w:val="clear" w:color="auto" w:fill="D9E1F3"/>
          </w:tcPr>
          <w:p w14:paraId="7522A20B" w14:textId="77777777" w:rsidR="00127FAE" w:rsidRPr="00FF7CD5" w:rsidRDefault="00127FAE" w:rsidP="006618B7">
            <w:pPr>
              <w:pStyle w:val="TableParagraph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Statins</w:t>
            </w:r>
          </w:p>
        </w:tc>
        <w:tc>
          <w:tcPr>
            <w:tcW w:w="691" w:type="pct"/>
            <w:shd w:val="clear" w:color="auto" w:fill="D9E1F3"/>
          </w:tcPr>
          <w:p w14:paraId="4CAF64A0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  <w:shd w:val="clear" w:color="auto" w:fill="D9E1F3"/>
          </w:tcPr>
          <w:p w14:paraId="7FB425DD" w14:textId="77777777" w:rsidR="00127FAE" w:rsidRPr="00FF7CD5" w:rsidRDefault="00127FAE" w:rsidP="006618B7">
            <w:pPr>
              <w:pStyle w:val="TableParagraph"/>
              <w:spacing w:before="3" w:line="230" w:lineRule="exact"/>
              <w:ind w:left="178" w:right="173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Intermediate quality</w:t>
            </w:r>
          </w:p>
        </w:tc>
        <w:tc>
          <w:tcPr>
            <w:tcW w:w="2345" w:type="pct"/>
            <w:shd w:val="clear" w:color="auto" w:fill="D9E1F3"/>
          </w:tcPr>
          <w:p w14:paraId="3D1D8406" w14:textId="77777777" w:rsidR="00127FAE" w:rsidRPr="00FF7CD5" w:rsidRDefault="00127FAE" w:rsidP="006618B7">
            <w:pPr>
              <w:pStyle w:val="TableParagraph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59EFACBC" w14:textId="77777777" w:rsidTr="006618B7">
        <w:trPr>
          <w:trHeight w:val="687"/>
        </w:trPr>
        <w:tc>
          <w:tcPr>
            <w:tcW w:w="1147" w:type="pct"/>
          </w:tcPr>
          <w:p w14:paraId="3C2CF57D" w14:textId="77777777" w:rsidR="00127FAE" w:rsidRPr="00FF7CD5" w:rsidRDefault="00127FAE" w:rsidP="006618B7">
            <w:pPr>
              <w:pStyle w:val="TableParagraph"/>
              <w:spacing w:line="227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Device-guided</w:t>
            </w:r>
          </w:p>
          <w:p w14:paraId="23D295CD" w14:textId="77777777" w:rsidR="00127FAE" w:rsidRPr="00FF7CD5" w:rsidRDefault="00127FAE" w:rsidP="006618B7">
            <w:pPr>
              <w:pStyle w:val="TableParagraph"/>
              <w:spacing w:line="230" w:lineRule="atLeast"/>
              <w:ind w:left="107" w:right="285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matched volume expansion</w:t>
            </w:r>
          </w:p>
        </w:tc>
        <w:tc>
          <w:tcPr>
            <w:tcW w:w="691" w:type="pct"/>
          </w:tcPr>
          <w:p w14:paraId="60C9A7B2" w14:textId="77777777" w:rsidR="00127FAE" w:rsidRPr="00FF7CD5" w:rsidRDefault="00127FAE" w:rsidP="006618B7">
            <w:pPr>
              <w:pStyle w:val="TableParagraph"/>
              <w:spacing w:line="227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</w:tcPr>
          <w:p w14:paraId="333349C8" w14:textId="77777777" w:rsidR="00127FAE" w:rsidRPr="00FF7CD5" w:rsidRDefault="00127FAE" w:rsidP="006618B7">
            <w:pPr>
              <w:pStyle w:val="TableParagraph"/>
              <w:spacing w:line="227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51A249A2" w14:textId="77777777" w:rsidR="00127FAE" w:rsidRPr="00FF7CD5" w:rsidRDefault="00127FAE" w:rsidP="006618B7">
            <w:pPr>
              <w:pStyle w:val="TableParagraph"/>
              <w:ind w:left="128" w:right="261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 evidence for positive effect on mortality and need for RRT</w:t>
            </w:r>
          </w:p>
        </w:tc>
      </w:tr>
      <w:tr w:rsidR="00127FAE" w:rsidRPr="00FF7CD5" w14:paraId="42C6A6D1" w14:textId="77777777" w:rsidTr="006618B7">
        <w:trPr>
          <w:trHeight w:val="459"/>
        </w:trPr>
        <w:tc>
          <w:tcPr>
            <w:tcW w:w="1147" w:type="pct"/>
            <w:shd w:val="clear" w:color="auto" w:fill="D9E1F3"/>
          </w:tcPr>
          <w:p w14:paraId="5AC27CD1" w14:textId="77777777" w:rsidR="00127FAE" w:rsidRPr="00FF7CD5" w:rsidRDefault="00127FAE" w:rsidP="006618B7">
            <w:pPr>
              <w:pStyle w:val="TableParagraph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Prostaglandins</w:t>
            </w:r>
          </w:p>
        </w:tc>
        <w:tc>
          <w:tcPr>
            <w:tcW w:w="691" w:type="pct"/>
            <w:shd w:val="clear" w:color="auto" w:fill="D9E1F3"/>
          </w:tcPr>
          <w:p w14:paraId="723B3391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  <w:shd w:val="clear" w:color="auto" w:fill="D9E1F3"/>
          </w:tcPr>
          <w:p w14:paraId="6436331E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0E53E00A" w14:textId="77777777" w:rsidR="00127FAE" w:rsidRPr="00FF7CD5" w:rsidRDefault="00127FAE" w:rsidP="006618B7">
            <w:pPr>
              <w:pStyle w:val="TableParagraph"/>
              <w:spacing w:before="3" w:line="230" w:lineRule="exact"/>
              <w:ind w:left="128" w:right="133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Data limited to setting of percutaneous coronary intervention</w:t>
            </w:r>
          </w:p>
        </w:tc>
      </w:tr>
      <w:tr w:rsidR="00127FAE" w:rsidRPr="00FF7CD5" w14:paraId="26E1F87F" w14:textId="77777777" w:rsidTr="006618B7">
        <w:trPr>
          <w:trHeight w:val="456"/>
        </w:trPr>
        <w:tc>
          <w:tcPr>
            <w:tcW w:w="1147" w:type="pct"/>
          </w:tcPr>
          <w:p w14:paraId="59FA68D4" w14:textId="77777777" w:rsidR="00127FAE" w:rsidRPr="00FF7CD5" w:rsidRDefault="00127FAE" w:rsidP="006618B7">
            <w:pPr>
              <w:pStyle w:val="TableParagraph"/>
              <w:spacing w:line="226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Trimetazidine</w:t>
            </w:r>
          </w:p>
        </w:tc>
        <w:tc>
          <w:tcPr>
            <w:tcW w:w="691" w:type="pct"/>
          </w:tcPr>
          <w:p w14:paraId="76948319" w14:textId="77777777" w:rsidR="00127FAE" w:rsidRPr="00FF7CD5" w:rsidRDefault="00127FAE" w:rsidP="006618B7">
            <w:pPr>
              <w:pStyle w:val="TableParagraph"/>
              <w:spacing w:line="226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</w:tcPr>
          <w:p w14:paraId="3A76607A" w14:textId="77777777" w:rsidR="00127FAE" w:rsidRPr="00FF7CD5" w:rsidRDefault="00127FAE" w:rsidP="006618B7">
            <w:pPr>
              <w:pStyle w:val="TableParagraph"/>
              <w:spacing w:line="226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6A5FEEAD" w14:textId="77777777" w:rsidR="00127FAE" w:rsidRPr="00FF7CD5" w:rsidRDefault="00127FAE" w:rsidP="006618B7">
            <w:pPr>
              <w:pStyle w:val="TableParagraph"/>
              <w:spacing w:line="226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Data restricted to percutaneous</w:t>
            </w:r>
          </w:p>
          <w:p w14:paraId="7D545230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coronary intervention setting</w:t>
            </w:r>
          </w:p>
        </w:tc>
      </w:tr>
      <w:tr w:rsidR="00127FAE" w:rsidRPr="00FF7CD5" w14:paraId="178C97AF" w14:textId="77777777" w:rsidTr="006618B7">
        <w:trPr>
          <w:trHeight w:val="1150"/>
        </w:trPr>
        <w:tc>
          <w:tcPr>
            <w:tcW w:w="1147" w:type="pct"/>
            <w:shd w:val="clear" w:color="auto" w:fill="D9E1F3"/>
          </w:tcPr>
          <w:p w14:paraId="4606D9C2" w14:textId="77777777" w:rsidR="00127FAE" w:rsidRPr="00FF7CD5" w:rsidRDefault="00127FAE" w:rsidP="006618B7">
            <w:pPr>
              <w:pStyle w:val="TableParagraph"/>
              <w:ind w:left="107" w:right="302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N-acetylcysteine plus saline</w:t>
            </w:r>
          </w:p>
        </w:tc>
        <w:tc>
          <w:tcPr>
            <w:tcW w:w="691" w:type="pct"/>
            <w:shd w:val="clear" w:color="auto" w:fill="D9E1F3"/>
          </w:tcPr>
          <w:p w14:paraId="0FDCB51B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  <w:shd w:val="clear" w:color="auto" w:fill="D9E1F3"/>
          </w:tcPr>
          <w:p w14:paraId="211C872E" w14:textId="77777777" w:rsidR="00127FAE" w:rsidRPr="00FF7CD5" w:rsidRDefault="00127FAE" w:rsidP="006618B7">
            <w:pPr>
              <w:pStyle w:val="TableParagraph"/>
              <w:ind w:left="178" w:right="173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Intermediate quality</w:t>
            </w:r>
          </w:p>
        </w:tc>
        <w:tc>
          <w:tcPr>
            <w:tcW w:w="2345" w:type="pct"/>
            <w:shd w:val="clear" w:color="auto" w:fill="D9E1F3"/>
          </w:tcPr>
          <w:p w14:paraId="5E7AB64B" w14:textId="77777777" w:rsidR="00127FAE" w:rsidRPr="00FF7CD5" w:rsidRDefault="00127FAE" w:rsidP="006618B7">
            <w:pPr>
              <w:pStyle w:val="TableParagraph"/>
              <w:ind w:left="128" w:right="223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Affects tubular secretion of creatinine giving false positive improvement in creatinine-based definitions of AKI; data inconclusive in cystatin C based</w:t>
            </w:r>
          </w:p>
          <w:p w14:paraId="24B03922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studies</w:t>
            </w:r>
          </w:p>
        </w:tc>
      </w:tr>
      <w:tr w:rsidR="00127FAE" w:rsidRPr="00FF7CD5" w14:paraId="7EF89FBB" w14:textId="77777777" w:rsidTr="006618B7">
        <w:trPr>
          <w:trHeight w:val="459"/>
        </w:trPr>
        <w:tc>
          <w:tcPr>
            <w:tcW w:w="1147" w:type="pct"/>
          </w:tcPr>
          <w:p w14:paraId="07A3CF3F" w14:textId="77777777" w:rsidR="00127FAE" w:rsidRPr="00FF7CD5" w:rsidRDefault="00127FAE" w:rsidP="006618B7">
            <w:pPr>
              <w:pStyle w:val="TableParagraph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Fenoldopam</w:t>
            </w:r>
          </w:p>
        </w:tc>
        <w:tc>
          <w:tcPr>
            <w:tcW w:w="691" w:type="pct"/>
          </w:tcPr>
          <w:p w14:paraId="32525FFB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</w:tcPr>
          <w:p w14:paraId="1D38ED96" w14:textId="77777777" w:rsidR="00127FAE" w:rsidRPr="00FF7CD5" w:rsidRDefault="00127FAE" w:rsidP="006618B7">
            <w:pPr>
              <w:pStyle w:val="TableParagraph"/>
              <w:spacing w:before="3" w:line="230" w:lineRule="exact"/>
              <w:ind w:left="178" w:right="161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quality, conflictive</w:t>
            </w:r>
          </w:p>
        </w:tc>
        <w:tc>
          <w:tcPr>
            <w:tcW w:w="2345" w:type="pct"/>
          </w:tcPr>
          <w:p w14:paraId="2BFF5F52" w14:textId="77777777" w:rsidR="00127FAE" w:rsidRPr="00FF7CD5" w:rsidRDefault="00127FAE" w:rsidP="006618B7">
            <w:pPr>
              <w:pStyle w:val="TableParagraph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2838C8D0" w14:textId="77777777" w:rsidTr="006618B7">
        <w:trPr>
          <w:trHeight w:val="226"/>
        </w:trPr>
        <w:tc>
          <w:tcPr>
            <w:tcW w:w="1147" w:type="pct"/>
            <w:shd w:val="clear" w:color="auto" w:fill="D9E1F3"/>
          </w:tcPr>
          <w:p w14:paraId="2314CC0F" w14:textId="77777777" w:rsidR="00127FAE" w:rsidRPr="00FF7CD5" w:rsidRDefault="00127FAE" w:rsidP="006618B7">
            <w:pPr>
              <w:pStyle w:val="TableParagraph"/>
              <w:spacing w:line="206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Nebivolol</w:t>
            </w:r>
          </w:p>
        </w:tc>
        <w:tc>
          <w:tcPr>
            <w:tcW w:w="691" w:type="pct"/>
            <w:shd w:val="clear" w:color="auto" w:fill="D9E1F3"/>
          </w:tcPr>
          <w:p w14:paraId="6FE5307D" w14:textId="77777777" w:rsidR="00127FAE" w:rsidRPr="00FF7CD5" w:rsidRDefault="00127FAE" w:rsidP="006618B7">
            <w:pPr>
              <w:pStyle w:val="TableParagraph"/>
              <w:spacing w:line="206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  <w:shd w:val="clear" w:color="auto" w:fill="D9E1F3"/>
          </w:tcPr>
          <w:p w14:paraId="468231D5" w14:textId="77777777" w:rsidR="00127FAE" w:rsidRPr="00FF7CD5" w:rsidRDefault="00127FAE" w:rsidP="006618B7">
            <w:pPr>
              <w:pStyle w:val="TableParagraph"/>
              <w:spacing w:line="206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0BBE8D20" w14:textId="77777777" w:rsidR="00127FAE" w:rsidRPr="00FF7CD5" w:rsidRDefault="00127FAE" w:rsidP="006618B7">
            <w:pPr>
              <w:pStyle w:val="TableParagraph"/>
              <w:spacing w:line="206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Very limited data</w:t>
            </w:r>
          </w:p>
        </w:tc>
      </w:tr>
      <w:tr w:rsidR="00127FAE" w:rsidRPr="00FF7CD5" w14:paraId="0DD1C537" w14:textId="77777777" w:rsidTr="006618B7">
        <w:trPr>
          <w:trHeight w:val="230"/>
        </w:trPr>
        <w:tc>
          <w:tcPr>
            <w:tcW w:w="1147" w:type="pct"/>
          </w:tcPr>
          <w:p w14:paraId="257C9248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Mannitol</w:t>
            </w:r>
          </w:p>
        </w:tc>
        <w:tc>
          <w:tcPr>
            <w:tcW w:w="691" w:type="pct"/>
          </w:tcPr>
          <w:p w14:paraId="370488E8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</w:tcPr>
          <w:p w14:paraId="44050153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0F10AD37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3DD203F2" w14:textId="77777777" w:rsidTr="006618B7">
        <w:trPr>
          <w:trHeight w:val="460"/>
        </w:trPr>
        <w:tc>
          <w:tcPr>
            <w:tcW w:w="1147" w:type="pct"/>
            <w:shd w:val="clear" w:color="auto" w:fill="D9E1F3"/>
          </w:tcPr>
          <w:p w14:paraId="4387853B" w14:textId="77777777" w:rsidR="00127FAE" w:rsidRPr="00FF7CD5" w:rsidRDefault="00127FAE" w:rsidP="006618B7">
            <w:pPr>
              <w:pStyle w:val="TableParagraph"/>
              <w:spacing w:line="230" w:lineRule="atLeast"/>
              <w:ind w:left="107" w:right="735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Natriuretic peptide</w:t>
            </w:r>
          </w:p>
        </w:tc>
        <w:tc>
          <w:tcPr>
            <w:tcW w:w="691" w:type="pct"/>
            <w:shd w:val="clear" w:color="auto" w:fill="D9E1F3"/>
          </w:tcPr>
          <w:p w14:paraId="410EEF64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  <w:shd w:val="clear" w:color="auto" w:fill="D9E1F3"/>
          </w:tcPr>
          <w:p w14:paraId="7502A9B0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0234C764" w14:textId="77777777" w:rsidR="00127FAE" w:rsidRPr="00FF7CD5" w:rsidRDefault="00127FAE" w:rsidP="006618B7">
            <w:pPr>
              <w:pStyle w:val="TableParagraph"/>
              <w:spacing w:line="230" w:lineRule="atLeast"/>
              <w:ind w:left="128" w:right="75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Data restricted to percutaneous coronary intervention setting</w:t>
            </w:r>
          </w:p>
        </w:tc>
      </w:tr>
      <w:tr w:rsidR="00127FAE" w:rsidRPr="00FF7CD5" w14:paraId="08347E8E" w14:textId="77777777" w:rsidTr="006618B7">
        <w:trPr>
          <w:trHeight w:val="230"/>
        </w:trPr>
        <w:tc>
          <w:tcPr>
            <w:tcW w:w="1147" w:type="pct"/>
          </w:tcPr>
          <w:p w14:paraId="3CEE32BC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Furosemide</w:t>
            </w:r>
          </w:p>
        </w:tc>
        <w:tc>
          <w:tcPr>
            <w:tcW w:w="691" w:type="pct"/>
          </w:tcPr>
          <w:p w14:paraId="191D1C48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Negative</w:t>
            </w:r>
          </w:p>
        </w:tc>
        <w:tc>
          <w:tcPr>
            <w:tcW w:w="817" w:type="pct"/>
          </w:tcPr>
          <w:p w14:paraId="0CD2C2A9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0C829255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1B04B204" w14:textId="77777777" w:rsidTr="006618B7">
        <w:trPr>
          <w:trHeight w:val="459"/>
        </w:trPr>
        <w:tc>
          <w:tcPr>
            <w:tcW w:w="1147" w:type="pct"/>
            <w:shd w:val="clear" w:color="auto" w:fill="D9E1F3"/>
          </w:tcPr>
          <w:p w14:paraId="60E7BF7D" w14:textId="77777777" w:rsidR="00127FAE" w:rsidRPr="00FF7CD5" w:rsidRDefault="00127FAE" w:rsidP="006618B7">
            <w:pPr>
              <w:pStyle w:val="TableParagraph"/>
              <w:spacing w:before="3" w:line="230" w:lineRule="exact"/>
              <w:ind w:left="107" w:right="162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LVEDP guided volume expansion</w:t>
            </w:r>
          </w:p>
        </w:tc>
        <w:tc>
          <w:tcPr>
            <w:tcW w:w="691" w:type="pct"/>
            <w:shd w:val="clear" w:color="auto" w:fill="D9E1F3"/>
          </w:tcPr>
          <w:p w14:paraId="35A9F733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  <w:shd w:val="clear" w:color="auto" w:fill="D9E1F3"/>
          </w:tcPr>
          <w:p w14:paraId="547D42BB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6475ECA7" w14:textId="77777777" w:rsidR="00127FAE" w:rsidRPr="00FF7CD5" w:rsidRDefault="00127FAE" w:rsidP="006618B7">
            <w:pPr>
              <w:pStyle w:val="TableParagraph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3732DEDF" w14:textId="77777777" w:rsidTr="006618B7">
        <w:trPr>
          <w:trHeight w:val="456"/>
        </w:trPr>
        <w:tc>
          <w:tcPr>
            <w:tcW w:w="1147" w:type="pct"/>
          </w:tcPr>
          <w:p w14:paraId="1E2DF3C9" w14:textId="77777777" w:rsidR="00127FAE" w:rsidRPr="00FF7CD5" w:rsidRDefault="00127FAE" w:rsidP="006618B7">
            <w:pPr>
              <w:pStyle w:val="TableParagraph"/>
              <w:spacing w:line="226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Dopamine or</w:t>
            </w:r>
          </w:p>
          <w:p w14:paraId="63EE1F90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fenoldopam</w:t>
            </w:r>
          </w:p>
        </w:tc>
        <w:tc>
          <w:tcPr>
            <w:tcW w:w="691" w:type="pct"/>
          </w:tcPr>
          <w:p w14:paraId="413DC455" w14:textId="77777777" w:rsidR="00127FAE" w:rsidRPr="00FF7CD5" w:rsidRDefault="00127FAE" w:rsidP="006618B7">
            <w:pPr>
              <w:pStyle w:val="TableParagraph"/>
              <w:spacing w:line="226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</w:tcPr>
          <w:p w14:paraId="79A1D5BB" w14:textId="77777777" w:rsidR="00127FAE" w:rsidRPr="00FF7CD5" w:rsidRDefault="00127FAE" w:rsidP="006618B7">
            <w:pPr>
              <w:pStyle w:val="TableParagraph"/>
              <w:spacing w:line="226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High quality</w:t>
            </w:r>
          </w:p>
        </w:tc>
        <w:tc>
          <w:tcPr>
            <w:tcW w:w="2345" w:type="pct"/>
          </w:tcPr>
          <w:p w14:paraId="50915381" w14:textId="77777777" w:rsidR="00127FAE" w:rsidRPr="00FF7CD5" w:rsidRDefault="00127FAE" w:rsidP="006618B7">
            <w:pPr>
              <w:pStyle w:val="TableParagraph"/>
              <w:spacing w:line="226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Potential harm by arrhythmias and</w:t>
            </w:r>
          </w:p>
          <w:p w14:paraId="723D5D58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hypotension</w:t>
            </w:r>
          </w:p>
        </w:tc>
      </w:tr>
      <w:tr w:rsidR="00127FAE" w:rsidRPr="00FF7CD5" w14:paraId="60187CCC" w14:textId="77777777" w:rsidTr="006618B7">
        <w:trPr>
          <w:trHeight w:val="229"/>
        </w:trPr>
        <w:tc>
          <w:tcPr>
            <w:tcW w:w="5000" w:type="pct"/>
            <w:gridSpan w:val="4"/>
            <w:shd w:val="clear" w:color="auto" w:fill="D9E1F3"/>
          </w:tcPr>
          <w:p w14:paraId="359CEC0D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Perioperative major non-vascular surgery</w:t>
            </w:r>
          </w:p>
        </w:tc>
      </w:tr>
      <w:tr w:rsidR="00127FAE" w:rsidRPr="00FF7CD5" w14:paraId="5387F9E0" w14:textId="77777777" w:rsidTr="006618B7">
        <w:trPr>
          <w:trHeight w:val="230"/>
        </w:trPr>
        <w:tc>
          <w:tcPr>
            <w:tcW w:w="1147" w:type="pct"/>
          </w:tcPr>
          <w:p w14:paraId="2678824A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Diuretics</w:t>
            </w:r>
          </w:p>
        </w:tc>
        <w:tc>
          <w:tcPr>
            <w:tcW w:w="691" w:type="pct"/>
          </w:tcPr>
          <w:p w14:paraId="782B2519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</w:tcPr>
          <w:p w14:paraId="2A3B3694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3CA9A767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066B2818" w14:textId="77777777" w:rsidTr="006618B7">
        <w:trPr>
          <w:trHeight w:val="460"/>
        </w:trPr>
        <w:tc>
          <w:tcPr>
            <w:tcW w:w="1147" w:type="pct"/>
            <w:shd w:val="clear" w:color="auto" w:fill="D9E1F3"/>
          </w:tcPr>
          <w:p w14:paraId="2289EFF3" w14:textId="77777777" w:rsidR="00127FAE" w:rsidRPr="00FF7CD5" w:rsidRDefault="00127FAE" w:rsidP="006618B7">
            <w:pPr>
              <w:pStyle w:val="TableParagraph"/>
              <w:spacing w:line="230" w:lineRule="atLeast"/>
              <w:ind w:left="107" w:right="252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Calcium channel blockers</w:t>
            </w:r>
          </w:p>
        </w:tc>
        <w:tc>
          <w:tcPr>
            <w:tcW w:w="691" w:type="pct"/>
            <w:shd w:val="clear" w:color="auto" w:fill="D9E1F3"/>
          </w:tcPr>
          <w:p w14:paraId="20C7147F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  <w:shd w:val="clear" w:color="auto" w:fill="D9E1F3"/>
          </w:tcPr>
          <w:p w14:paraId="106A101A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4FF85F41" w14:textId="77777777" w:rsidR="00127FAE" w:rsidRPr="00FF7CD5" w:rsidRDefault="00127FAE" w:rsidP="006618B7">
            <w:pPr>
              <w:pStyle w:val="TableParagraph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00CB79B0" w14:textId="77777777" w:rsidTr="006618B7">
        <w:trPr>
          <w:trHeight w:val="1610"/>
        </w:trPr>
        <w:tc>
          <w:tcPr>
            <w:tcW w:w="1147" w:type="pct"/>
          </w:tcPr>
          <w:p w14:paraId="57EDCE46" w14:textId="77777777" w:rsidR="00127FAE" w:rsidRPr="00FF7CD5" w:rsidRDefault="00127FAE" w:rsidP="006618B7">
            <w:pPr>
              <w:pStyle w:val="TableParagraph"/>
              <w:ind w:left="107" w:right="85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Angiotensin- converting enzyme blockers</w:t>
            </w:r>
          </w:p>
        </w:tc>
        <w:tc>
          <w:tcPr>
            <w:tcW w:w="691" w:type="pct"/>
          </w:tcPr>
          <w:p w14:paraId="590F3E0D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</w:tcPr>
          <w:p w14:paraId="38CC64C5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1442B090" w14:textId="77777777" w:rsidR="00127FAE" w:rsidRPr="00FF7CD5" w:rsidRDefault="00127FAE" w:rsidP="006618B7">
            <w:pPr>
              <w:pStyle w:val="TableParagraph"/>
              <w:ind w:left="128" w:right="150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 when started de novo; conflicting data from patients on chronic maintenance therapy who stop treatment; increased risk from continuing maintenance therapy in older patients and those with</w:t>
            </w:r>
          </w:p>
          <w:p w14:paraId="5D7C335E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underlying CKD; all observational data</w:t>
            </w:r>
          </w:p>
        </w:tc>
      </w:tr>
      <w:tr w:rsidR="00127FAE" w:rsidRPr="00FF7CD5" w14:paraId="6FA96023" w14:textId="77777777" w:rsidTr="006618B7">
        <w:trPr>
          <w:trHeight w:val="230"/>
        </w:trPr>
        <w:tc>
          <w:tcPr>
            <w:tcW w:w="1147" w:type="pct"/>
            <w:shd w:val="clear" w:color="auto" w:fill="D9E1F3"/>
          </w:tcPr>
          <w:p w14:paraId="190814EE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Clonidine</w:t>
            </w:r>
          </w:p>
        </w:tc>
        <w:tc>
          <w:tcPr>
            <w:tcW w:w="691" w:type="pct"/>
            <w:shd w:val="clear" w:color="auto" w:fill="D9E1F3"/>
          </w:tcPr>
          <w:p w14:paraId="6617A695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  <w:shd w:val="clear" w:color="auto" w:fill="D9E1F3"/>
          </w:tcPr>
          <w:p w14:paraId="345E8958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High quality</w:t>
            </w:r>
          </w:p>
        </w:tc>
        <w:tc>
          <w:tcPr>
            <w:tcW w:w="2345" w:type="pct"/>
            <w:shd w:val="clear" w:color="auto" w:fill="D9E1F3"/>
          </w:tcPr>
          <w:p w14:paraId="29C7C3A5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5ADB5343" w14:textId="77777777" w:rsidTr="006618B7">
        <w:trPr>
          <w:trHeight w:val="230"/>
        </w:trPr>
        <w:tc>
          <w:tcPr>
            <w:tcW w:w="1147" w:type="pct"/>
          </w:tcPr>
          <w:p w14:paraId="4FDA1EB1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Aspirin</w:t>
            </w:r>
          </w:p>
        </w:tc>
        <w:tc>
          <w:tcPr>
            <w:tcW w:w="691" w:type="pct"/>
          </w:tcPr>
          <w:p w14:paraId="7DD84F6D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</w:tcPr>
          <w:p w14:paraId="6E6C14B6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High quality</w:t>
            </w:r>
          </w:p>
        </w:tc>
        <w:tc>
          <w:tcPr>
            <w:tcW w:w="2345" w:type="pct"/>
          </w:tcPr>
          <w:p w14:paraId="43637DBB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58505349" w14:textId="77777777" w:rsidTr="006618B7">
        <w:trPr>
          <w:trHeight w:val="459"/>
        </w:trPr>
        <w:tc>
          <w:tcPr>
            <w:tcW w:w="1147" w:type="pct"/>
            <w:shd w:val="clear" w:color="auto" w:fill="D9E1F3"/>
          </w:tcPr>
          <w:p w14:paraId="2B16137F" w14:textId="77777777" w:rsidR="00127FAE" w:rsidRPr="00FF7CD5" w:rsidRDefault="00127FAE" w:rsidP="006618B7">
            <w:pPr>
              <w:pStyle w:val="TableParagraph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N-acetylcysteine</w:t>
            </w:r>
          </w:p>
        </w:tc>
        <w:tc>
          <w:tcPr>
            <w:tcW w:w="691" w:type="pct"/>
            <w:shd w:val="clear" w:color="auto" w:fill="D9E1F3"/>
          </w:tcPr>
          <w:p w14:paraId="08F6C708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  <w:shd w:val="clear" w:color="auto" w:fill="D9E1F3"/>
          </w:tcPr>
          <w:p w14:paraId="7E3E33DA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33582A02" w14:textId="77777777" w:rsidR="00127FAE" w:rsidRPr="00FF7CD5" w:rsidRDefault="00127FAE" w:rsidP="006618B7">
            <w:pPr>
              <w:pStyle w:val="TableParagraph"/>
              <w:spacing w:before="3" w:line="230" w:lineRule="exact"/>
              <w:ind w:left="128" w:right="894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Effect on tubular secretion of creatinine</w:t>
            </w:r>
          </w:p>
        </w:tc>
      </w:tr>
      <w:tr w:rsidR="00127FAE" w:rsidRPr="00FF7CD5" w14:paraId="24E9AA24" w14:textId="77777777" w:rsidTr="006618B7">
        <w:trPr>
          <w:trHeight w:val="456"/>
        </w:trPr>
        <w:tc>
          <w:tcPr>
            <w:tcW w:w="1147" w:type="pct"/>
          </w:tcPr>
          <w:p w14:paraId="1C97F914" w14:textId="77777777" w:rsidR="00127FAE" w:rsidRPr="00FF7CD5" w:rsidRDefault="00127FAE" w:rsidP="006618B7">
            <w:pPr>
              <w:pStyle w:val="TableParagraph"/>
              <w:spacing w:line="226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Atrial natriuretic</w:t>
            </w:r>
          </w:p>
          <w:p w14:paraId="0D3B3AC7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peptide</w:t>
            </w:r>
          </w:p>
        </w:tc>
        <w:tc>
          <w:tcPr>
            <w:tcW w:w="691" w:type="pct"/>
          </w:tcPr>
          <w:p w14:paraId="344A94D9" w14:textId="77777777" w:rsidR="00127FAE" w:rsidRPr="00FF7CD5" w:rsidRDefault="00127FAE" w:rsidP="006618B7">
            <w:pPr>
              <w:pStyle w:val="TableParagraph"/>
              <w:spacing w:line="226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</w:tcPr>
          <w:p w14:paraId="2C3D1749" w14:textId="77777777" w:rsidR="00127FAE" w:rsidRPr="00FF7CD5" w:rsidRDefault="00127FAE" w:rsidP="006618B7">
            <w:pPr>
              <w:pStyle w:val="TableParagraph"/>
              <w:spacing w:line="226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3EB305D0" w14:textId="77777777" w:rsidR="00127FAE" w:rsidRPr="00FF7CD5" w:rsidRDefault="00127FAE" w:rsidP="006618B7">
            <w:pPr>
              <w:pStyle w:val="TableParagraph"/>
              <w:spacing w:line="226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Majority of data from one study at</w:t>
            </w:r>
          </w:p>
          <w:p w14:paraId="74F2E289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high risk of bias</w:t>
            </w:r>
          </w:p>
        </w:tc>
      </w:tr>
      <w:tr w:rsidR="00127FAE" w:rsidRPr="00FF7CD5" w14:paraId="40652132" w14:textId="77777777" w:rsidTr="006618B7">
        <w:trPr>
          <w:trHeight w:val="230"/>
        </w:trPr>
        <w:tc>
          <w:tcPr>
            <w:tcW w:w="1147" w:type="pct"/>
            <w:shd w:val="clear" w:color="auto" w:fill="D9E1F3"/>
          </w:tcPr>
          <w:p w14:paraId="3330F109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Erythropoietin</w:t>
            </w:r>
          </w:p>
        </w:tc>
        <w:tc>
          <w:tcPr>
            <w:tcW w:w="691" w:type="pct"/>
            <w:shd w:val="clear" w:color="auto" w:fill="D9E1F3"/>
          </w:tcPr>
          <w:p w14:paraId="779BA475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Unclear</w:t>
            </w:r>
          </w:p>
        </w:tc>
        <w:tc>
          <w:tcPr>
            <w:tcW w:w="817" w:type="pct"/>
            <w:shd w:val="clear" w:color="auto" w:fill="D9E1F3"/>
          </w:tcPr>
          <w:p w14:paraId="29011391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29586D48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1F723317" w14:textId="77777777" w:rsidTr="006618B7">
        <w:trPr>
          <w:trHeight w:val="459"/>
        </w:trPr>
        <w:tc>
          <w:tcPr>
            <w:tcW w:w="1147" w:type="pct"/>
          </w:tcPr>
          <w:p w14:paraId="02B7644B" w14:textId="77777777" w:rsidR="00127FAE" w:rsidRPr="00FF7CD5" w:rsidRDefault="00127FAE" w:rsidP="006618B7">
            <w:pPr>
              <w:pStyle w:val="TableParagraph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lastRenderedPageBreak/>
              <w:t>Statins</w:t>
            </w:r>
          </w:p>
        </w:tc>
        <w:tc>
          <w:tcPr>
            <w:tcW w:w="691" w:type="pct"/>
          </w:tcPr>
          <w:p w14:paraId="508F3EA7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</w:tcPr>
          <w:p w14:paraId="2263695C" w14:textId="77777777" w:rsidR="00127FAE" w:rsidRPr="00FF7CD5" w:rsidRDefault="00127FAE" w:rsidP="006618B7">
            <w:pPr>
              <w:pStyle w:val="TableParagraph"/>
              <w:spacing w:before="3" w:line="230" w:lineRule="exact"/>
              <w:ind w:left="178" w:right="173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Intermediate quality</w:t>
            </w:r>
          </w:p>
        </w:tc>
        <w:tc>
          <w:tcPr>
            <w:tcW w:w="2345" w:type="pct"/>
          </w:tcPr>
          <w:p w14:paraId="5ACDACFC" w14:textId="77777777" w:rsidR="00127FAE" w:rsidRPr="00FF7CD5" w:rsidRDefault="00127FAE" w:rsidP="006618B7">
            <w:pPr>
              <w:pStyle w:val="TableParagraph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High heterogeneity among studies</w:t>
            </w:r>
          </w:p>
        </w:tc>
      </w:tr>
      <w:tr w:rsidR="00127FAE" w:rsidRPr="00FF7CD5" w14:paraId="635D731A" w14:textId="77777777" w:rsidTr="006618B7">
        <w:trPr>
          <w:trHeight w:val="226"/>
        </w:trPr>
        <w:tc>
          <w:tcPr>
            <w:tcW w:w="5000" w:type="pct"/>
            <w:gridSpan w:val="4"/>
            <w:shd w:val="clear" w:color="auto" w:fill="D9E1F3"/>
          </w:tcPr>
          <w:p w14:paraId="7B1EB046" w14:textId="77777777" w:rsidR="00127FAE" w:rsidRPr="00FF7CD5" w:rsidRDefault="00127FAE" w:rsidP="006618B7">
            <w:pPr>
              <w:pStyle w:val="TableParagraph"/>
              <w:spacing w:line="206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Perioperative cardiovascular surgery</w:t>
            </w:r>
          </w:p>
        </w:tc>
      </w:tr>
      <w:tr w:rsidR="00127FAE" w:rsidRPr="00FF7CD5" w14:paraId="42A28027" w14:textId="77777777" w:rsidTr="006618B7">
        <w:trPr>
          <w:trHeight w:val="230"/>
        </w:trPr>
        <w:tc>
          <w:tcPr>
            <w:tcW w:w="1147" w:type="pct"/>
          </w:tcPr>
          <w:p w14:paraId="13158816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proofErr w:type="spellStart"/>
            <w:r w:rsidRPr="00FF7CD5">
              <w:rPr>
                <w:rFonts w:ascii="Times" w:hAnsi="Times"/>
                <w:b/>
                <w:sz w:val="20"/>
              </w:rPr>
              <w:t>Levosimendan</w:t>
            </w:r>
            <w:proofErr w:type="spellEnd"/>
          </w:p>
        </w:tc>
        <w:tc>
          <w:tcPr>
            <w:tcW w:w="691" w:type="pct"/>
          </w:tcPr>
          <w:p w14:paraId="3C126D17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Unclear</w:t>
            </w:r>
          </w:p>
        </w:tc>
        <w:tc>
          <w:tcPr>
            <w:tcW w:w="817" w:type="pct"/>
          </w:tcPr>
          <w:p w14:paraId="29EFCE91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6FD467E4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440AF4C0" w14:textId="77777777" w:rsidTr="006618B7">
        <w:trPr>
          <w:trHeight w:val="230"/>
        </w:trPr>
        <w:tc>
          <w:tcPr>
            <w:tcW w:w="1147" w:type="pct"/>
            <w:shd w:val="clear" w:color="auto" w:fill="D9E1F3"/>
          </w:tcPr>
          <w:p w14:paraId="6F1B286A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Erythropoietin</w:t>
            </w:r>
          </w:p>
        </w:tc>
        <w:tc>
          <w:tcPr>
            <w:tcW w:w="691" w:type="pct"/>
            <w:shd w:val="clear" w:color="auto" w:fill="D9E1F3"/>
          </w:tcPr>
          <w:p w14:paraId="7FEA58F3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  <w:shd w:val="clear" w:color="auto" w:fill="D9E1F3"/>
          </w:tcPr>
          <w:p w14:paraId="5C635896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6A4A6B80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50FACCCD" w14:textId="77777777" w:rsidTr="006618B7">
        <w:trPr>
          <w:trHeight w:val="690"/>
        </w:trPr>
        <w:tc>
          <w:tcPr>
            <w:tcW w:w="1147" w:type="pct"/>
          </w:tcPr>
          <w:p w14:paraId="735C4F20" w14:textId="77777777" w:rsidR="00127FAE" w:rsidRPr="00FF7CD5" w:rsidRDefault="00127FAE" w:rsidP="006618B7">
            <w:pPr>
              <w:pStyle w:val="TableParagraph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Dexamethasone</w:t>
            </w:r>
          </w:p>
        </w:tc>
        <w:tc>
          <w:tcPr>
            <w:tcW w:w="691" w:type="pct"/>
          </w:tcPr>
          <w:p w14:paraId="3754759D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Protective</w:t>
            </w:r>
          </w:p>
        </w:tc>
        <w:tc>
          <w:tcPr>
            <w:tcW w:w="817" w:type="pct"/>
          </w:tcPr>
          <w:p w14:paraId="3E30CC98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7125C4C6" w14:textId="77777777" w:rsidR="00127FAE" w:rsidRPr="00FF7CD5" w:rsidRDefault="00127FAE" w:rsidP="006618B7">
            <w:pPr>
              <w:pStyle w:val="TableParagraph"/>
              <w:spacing w:line="230" w:lineRule="atLeast"/>
              <w:ind w:left="128" w:right="153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Single trial, low event rates, effect greatest in eGFR &lt;15mL/min per 1·73 m</w:t>
            </w:r>
            <w:r w:rsidRPr="00FF7CD5">
              <w:rPr>
                <w:rFonts w:ascii="Times" w:hAnsi="Times"/>
                <w:position w:val="5"/>
                <w:sz w:val="10"/>
              </w:rPr>
              <w:t>2</w:t>
            </w:r>
            <w:r w:rsidRPr="00FF7CD5">
              <w:rPr>
                <w:rFonts w:ascii="Times" w:hAnsi="Times"/>
                <w:sz w:val="20"/>
              </w:rPr>
              <w:t>; number needed to treat 160</w:t>
            </w:r>
          </w:p>
        </w:tc>
      </w:tr>
      <w:tr w:rsidR="00127FAE" w:rsidRPr="00FF7CD5" w14:paraId="1AE3D5FE" w14:textId="77777777" w:rsidTr="006618B7">
        <w:trPr>
          <w:trHeight w:val="459"/>
        </w:trPr>
        <w:tc>
          <w:tcPr>
            <w:tcW w:w="1147" w:type="pct"/>
            <w:shd w:val="clear" w:color="auto" w:fill="D9E1F3"/>
          </w:tcPr>
          <w:p w14:paraId="408FAB77" w14:textId="77777777" w:rsidR="00127FAE" w:rsidRPr="00FF7CD5" w:rsidRDefault="00127FAE" w:rsidP="006618B7">
            <w:pPr>
              <w:pStyle w:val="TableParagraph"/>
              <w:spacing w:before="3" w:line="230" w:lineRule="exact"/>
              <w:ind w:left="107" w:right="208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Atrial natriuretic peptide</w:t>
            </w:r>
          </w:p>
        </w:tc>
        <w:tc>
          <w:tcPr>
            <w:tcW w:w="691" w:type="pct"/>
            <w:shd w:val="clear" w:color="auto" w:fill="D9E1F3"/>
          </w:tcPr>
          <w:p w14:paraId="62B1C9A6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  <w:shd w:val="clear" w:color="auto" w:fill="D9E1F3"/>
          </w:tcPr>
          <w:p w14:paraId="5991C1D7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47C63B75" w14:textId="77777777" w:rsidR="00127FAE" w:rsidRPr="00FF7CD5" w:rsidRDefault="00127FAE" w:rsidP="006618B7">
            <w:pPr>
              <w:pStyle w:val="TableParagraph"/>
              <w:spacing w:before="3" w:line="230" w:lineRule="exact"/>
              <w:ind w:left="128" w:right="13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Does not decrease RRT-requiring AKI nor mortality</w:t>
            </w:r>
          </w:p>
        </w:tc>
      </w:tr>
      <w:tr w:rsidR="00127FAE" w:rsidRPr="00FF7CD5" w14:paraId="17E8836B" w14:textId="77777777" w:rsidTr="006618B7">
        <w:trPr>
          <w:trHeight w:val="686"/>
        </w:trPr>
        <w:tc>
          <w:tcPr>
            <w:tcW w:w="1147" w:type="pct"/>
          </w:tcPr>
          <w:p w14:paraId="319526A0" w14:textId="77777777" w:rsidR="00127FAE" w:rsidRPr="00FF7CD5" w:rsidRDefault="00127FAE" w:rsidP="006618B7">
            <w:pPr>
              <w:pStyle w:val="TableParagraph"/>
              <w:spacing w:line="226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Statins</w:t>
            </w:r>
          </w:p>
        </w:tc>
        <w:tc>
          <w:tcPr>
            <w:tcW w:w="691" w:type="pct"/>
          </w:tcPr>
          <w:p w14:paraId="41F78830" w14:textId="77777777" w:rsidR="00127FAE" w:rsidRPr="00FF7CD5" w:rsidRDefault="00127FAE" w:rsidP="006618B7">
            <w:pPr>
              <w:pStyle w:val="TableParagraph"/>
              <w:ind w:left="115" w:right="150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Conflictive results</w:t>
            </w:r>
          </w:p>
        </w:tc>
        <w:tc>
          <w:tcPr>
            <w:tcW w:w="817" w:type="pct"/>
          </w:tcPr>
          <w:p w14:paraId="50307EE4" w14:textId="77777777" w:rsidR="00127FAE" w:rsidRPr="00FF7CD5" w:rsidRDefault="00127FAE" w:rsidP="006618B7">
            <w:pPr>
              <w:pStyle w:val="TableParagraph"/>
              <w:spacing w:line="226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High quality</w:t>
            </w:r>
          </w:p>
        </w:tc>
        <w:tc>
          <w:tcPr>
            <w:tcW w:w="2345" w:type="pct"/>
          </w:tcPr>
          <w:p w14:paraId="6F80C86B" w14:textId="77777777" w:rsidR="00127FAE" w:rsidRPr="00FF7CD5" w:rsidRDefault="00127FAE" w:rsidP="006618B7">
            <w:pPr>
              <w:pStyle w:val="TableParagraph"/>
              <w:ind w:left="128" w:right="116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Continuing statin likely to be safe; starting statin probably associated with</w:t>
            </w:r>
          </w:p>
          <w:p w14:paraId="3A9597AC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higher AKI risk</w:t>
            </w:r>
          </w:p>
        </w:tc>
      </w:tr>
      <w:tr w:rsidR="00127FAE" w:rsidRPr="00FF7CD5" w14:paraId="2AB54EBE" w14:textId="77777777" w:rsidTr="006618B7">
        <w:trPr>
          <w:trHeight w:val="230"/>
        </w:trPr>
        <w:tc>
          <w:tcPr>
            <w:tcW w:w="1147" w:type="pct"/>
            <w:shd w:val="clear" w:color="auto" w:fill="D9E1F3"/>
          </w:tcPr>
          <w:p w14:paraId="4E0662DB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Diuretics</w:t>
            </w:r>
          </w:p>
        </w:tc>
        <w:tc>
          <w:tcPr>
            <w:tcW w:w="691" w:type="pct"/>
            <w:shd w:val="clear" w:color="auto" w:fill="D9E1F3"/>
          </w:tcPr>
          <w:p w14:paraId="660B543B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  <w:shd w:val="clear" w:color="auto" w:fill="D9E1F3"/>
          </w:tcPr>
          <w:p w14:paraId="5BAB521E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567A3E4F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6FFF358A" w14:textId="77777777" w:rsidTr="006618B7">
        <w:trPr>
          <w:trHeight w:val="230"/>
        </w:trPr>
        <w:tc>
          <w:tcPr>
            <w:tcW w:w="1147" w:type="pct"/>
          </w:tcPr>
          <w:p w14:paraId="089A9409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N-acetylcysteine</w:t>
            </w:r>
          </w:p>
        </w:tc>
        <w:tc>
          <w:tcPr>
            <w:tcW w:w="691" w:type="pct"/>
          </w:tcPr>
          <w:p w14:paraId="2D2DDBE9" w14:textId="77777777" w:rsidR="00127FAE" w:rsidRPr="00FF7CD5" w:rsidRDefault="00127FAE" w:rsidP="006618B7">
            <w:pPr>
              <w:pStyle w:val="TableParagraph"/>
              <w:spacing w:line="210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</w:tcPr>
          <w:p w14:paraId="535A4DCA" w14:textId="77777777" w:rsidR="00127FAE" w:rsidRPr="00FF7CD5" w:rsidRDefault="00127FAE" w:rsidP="006618B7">
            <w:pPr>
              <w:pStyle w:val="TableParagraph"/>
              <w:spacing w:line="210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4A67178C" w14:textId="77777777" w:rsidR="00127FAE" w:rsidRPr="00FF7CD5" w:rsidRDefault="00127FAE" w:rsidP="006618B7">
            <w:pPr>
              <w:pStyle w:val="TableParagraph"/>
              <w:spacing w:line="210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5A696AE3" w14:textId="77777777" w:rsidTr="006618B7">
        <w:trPr>
          <w:trHeight w:val="230"/>
        </w:trPr>
        <w:tc>
          <w:tcPr>
            <w:tcW w:w="5000" w:type="pct"/>
            <w:gridSpan w:val="4"/>
            <w:shd w:val="clear" w:color="auto" w:fill="D9E1F3"/>
          </w:tcPr>
          <w:p w14:paraId="2CB5ED9D" w14:textId="77777777" w:rsidR="00127FAE" w:rsidRPr="00FF7CD5" w:rsidRDefault="00127FAE" w:rsidP="006618B7">
            <w:pPr>
              <w:pStyle w:val="TableParagraph"/>
              <w:spacing w:line="210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Intensive care unit</w:t>
            </w:r>
          </w:p>
        </w:tc>
      </w:tr>
      <w:tr w:rsidR="00127FAE" w:rsidRPr="00FF7CD5" w14:paraId="2CDE0418" w14:textId="77777777" w:rsidTr="006618B7">
        <w:trPr>
          <w:trHeight w:val="459"/>
        </w:trPr>
        <w:tc>
          <w:tcPr>
            <w:tcW w:w="1147" w:type="pct"/>
          </w:tcPr>
          <w:p w14:paraId="193671EA" w14:textId="77777777" w:rsidR="00127FAE" w:rsidRPr="00FF7CD5" w:rsidRDefault="00127FAE" w:rsidP="006618B7">
            <w:pPr>
              <w:pStyle w:val="TableParagraph"/>
              <w:spacing w:before="3" w:line="230" w:lineRule="exact"/>
              <w:ind w:left="107" w:right="429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Insulin growth factor</w:t>
            </w:r>
          </w:p>
        </w:tc>
        <w:tc>
          <w:tcPr>
            <w:tcW w:w="691" w:type="pct"/>
          </w:tcPr>
          <w:p w14:paraId="58BCE39D" w14:textId="77777777" w:rsidR="00127FAE" w:rsidRPr="00FF7CD5" w:rsidRDefault="00127FAE" w:rsidP="006618B7">
            <w:pPr>
              <w:pStyle w:val="TableParagraph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No effect</w:t>
            </w:r>
          </w:p>
        </w:tc>
        <w:tc>
          <w:tcPr>
            <w:tcW w:w="817" w:type="pct"/>
          </w:tcPr>
          <w:p w14:paraId="6174F46C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5ED1ACC6" w14:textId="77777777" w:rsidR="00127FAE" w:rsidRPr="00FF7CD5" w:rsidRDefault="00127FAE" w:rsidP="006618B7">
            <w:pPr>
              <w:pStyle w:val="TableParagraph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..</w:t>
            </w:r>
          </w:p>
        </w:tc>
      </w:tr>
      <w:tr w:rsidR="00127FAE" w:rsidRPr="00FF7CD5" w14:paraId="6D7B3E5A" w14:textId="77777777" w:rsidTr="006618B7">
        <w:trPr>
          <w:trHeight w:val="225"/>
        </w:trPr>
        <w:tc>
          <w:tcPr>
            <w:tcW w:w="1147" w:type="pct"/>
            <w:shd w:val="clear" w:color="auto" w:fill="D9E1F3"/>
          </w:tcPr>
          <w:p w14:paraId="5C4FD03A" w14:textId="77777777" w:rsidR="00127FAE" w:rsidRPr="00FF7CD5" w:rsidRDefault="00127FAE" w:rsidP="006618B7">
            <w:pPr>
              <w:pStyle w:val="TableParagraph"/>
              <w:spacing w:line="206" w:lineRule="exact"/>
              <w:ind w:left="107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Fenoldopam</w:t>
            </w:r>
          </w:p>
        </w:tc>
        <w:tc>
          <w:tcPr>
            <w:tcW w:w="691" w:type="pct"/>
            <w:shd w:val="clear" w:color="auto" w:fill="D9E1F3"/>
          </w:tcPr>
          <w:p w14:paraId="7CF43428" w14:textId="77777777" w:rsidR="00127FAE" w:rsidRPr="00FF7CD5" w:rsidRDefault="00127FAE" w:rsidP="006618B7">
            <w:pPr>
              <w:pStyle w:val="TableParagraph"/>
              <w:spacing w:line="206" w:lineRule="exact"/>
              <w:ind w:left="115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Conflictive</w:t>
            </w:r>
          </w:p>
        </w:tc>
        <w:tc>
          <w:tcPr>
            <w:tcW w:w="817" w:type="pct"/>
            <w:shd w:val="clear" w:color="auto" w:fill="D9E1F3"/>
          </w:tcPr>
          <w:p w14:paraId="3F81E2BC" w14:textId="77777777" w:rsidR="00127FAE" w:rsidRPr="00FF7CD5" w:rsidRDefault="00127FAE" w:rsidP="006618B7">
            <w:pPr>
              <w:pStyle w:val="TableParagraph"/>
              <w:spacing w:line="206" w:lineRule="exact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  <w:shd w:val="clear" w:color="auto" w:fill="D9E1F3"/>
          </w:tcPr>
          <w:p w14:paraId="74E4180A" w14:textId="77777777" w:rsidR="00127FAE" w:rsidRPr="00FF7CD5" w:rsidRDefault="00127FAE" w:rsidP="006618B7">
            <w:pPr>
              <w:pStyle w:val="TableParagraph"/>
              <w:spacing w:line="206" w:lineRule="exact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Potential harmful effects</w:t>
            </w:r>
          </w:p>
        </w:tc>
      </w:tr>
      <w:tr w:rsidR="00127FAE" w:rsidRPr="00FF7CD5" w14:paraId="2A3289ED" w14:textId="77777777" w:rsidTr="006618B7">
        <w:trPr>
          <w:trHeight w:val="460"/>
        </w:trPr>
        <w:tc>
          <w:tcPr>
            <w:tcW w:w="1147" w:type="pct"/>
          </w:tcPr>
          <w:p w14:paraId="2C13F350" w14:textId="77777777" w:rsidR="00127FAE" w:rsidRPr="00FF7CD5" w:rsidRDefault="00127FAE" w:rsidP="006618B7">
            <w:pPr>
              <w:pStyle w:val="TableParagraph"/>
              <w:spacing w:line="230" w:lineRule="atLeast"/>
              <w:ind w:left="107" w:right="635"/>
              <w:rPr>
                <w:rFonts w:ascii="Times" w:hAnsi="Times"/>
                <w:b/>
                <w:sz w:val="20"/>
              </w:rPr>
            </w:pPr>
            <w:r w:rsidRPr="00FF7CD5">
              <w:rPr>
                <w:rFonts w:ascii="Times" w:hAnsi="Times"/>
                <w:b/>
                <w:sz w:val="20"/>
              </w:rPr>
              <w:t>Alkaline phosphatase</w:t>
            </w:r>
          </w:p>
        </w:tc>
        <w:tc>
          <w:tcPr>
            <w:tcW w:w="691" w:type="pct"/>
          </w:tcPr>
          <w:p w14:paraId="146A1E34" w14:textId="77777777" w:rsidR="00127FAE" w:rsidRPr="00FF7CD5" w:rsidRDefault="00127FAE" w:rsidP="006618B7">
            <w:pPr>
              <w:pStyle w:val="TableParagraph"/>
              <w:spacing w:line="230" w:lineRule="atLeast"/>
              <w:ind w:left="115" w:right="183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Potentially positive</w:t>
            </w:r>
          </w:p>
        </w:tc>
        <w:tc>
          <w:tcPr>
            <w:tcW w:w="817" w:type="pct"/>
          </w:tcPr>
          <w:p w14:paraId="46157813" w14:textId="77777777" w:rsidR="00127FAE" w:rsidRPr="00FF7CD5" w:rsidRDefault="00127FAE" w:rsidP="006618B7">
            <w:pPr>
              <w:pStyle w:val="TableParagraph"/>
              <w:ind w:left="17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Low quality</w:t>
            </w:r>
          </w:p>
        </w:tc>
        <w:tc>
          <w:tcPr>
            <w:tcW w:w="2345" w:type="pct"/>
          </w:tcPr>
          <w:p w14:paraId="40AC39CF" w14:textId="77777777" w:rsidR="00127FAE" w:rsidRPr="00FF7CD5" w:rsidRDefault="00127FAE" w:rsidP="006618B7">
            <w:pPr>
              <w:pStyle w:val="TableParagraph"/>
              <w:ind w:left="128"/>
              <w:rPr>
                <w:rFonts w:ascii="Times" w:hAnsi="Times"/>
                <w:sz w:val="20"/>
              </w:rPr>
            </w:pPr>
            <w:r w:rsidRPr="00FF7CD5">
              <w:rPr>
                <w:rFonts w:ascii="Times" w:hAnsi="Times"/>
                <w:sz w:val="20"/>
              </w:rPr>
              <w:t>Large trial ongoing</w:t>
            </w:r>
          </w:p>
        </w:tc>
      </w:tr>
    </w:tbl>
    <w:p w14:paraId="7E24AFF4" w14:textId="62EAA884" w:rsidR="00900037" w:rsidRDefault="00127FAE"/>
    <w:p w14:paraId="10A4463A" w14:textId="77777777" w:rsidR="00127FAE" w:rsidRPr="00A56B5E" w:rsidRDefault="00127FAE" w:rsidP="00127FAE">
      <w:pPr>
        <w:pStyle w:val="BodyText"/>
        <w:ind w:left="100" w:right="720"/>
        <w:rPr>
          <w:rFonts w:ascii="Times" w:hAnsi="Times"/>
          <w:color w:val="000000" w:themeColor="text1"/>
          <w:szCs w:val="16"/>
        </w:rPr>
      </w:pPr>
      <w:r w:rsidRPr="00A56B5E">
        <w:rPr>
          <w:rFonts w:ascii="Times" w:hAnsi="Times"/>
          <w:color w:val="000000" w:themeColor="text1"/>
          <w:szCs w:val="16"/>
        </w:rPr>
        <w:t>AKI=acute kidney injury. RRT=renal replacement therapy. LVEDP=left ventricular end-diastolic pressure. CKD=chronic kidney disease. eGFR=estimated glomerular filtration rate.</w:t>
      </w:r>
    </w:p>
    <w:p w14:paraId="0926E86E" w14:textId="77777777" w:rsidR="00127FAE" w:rsidRPr="00A56B5E" w:rsidRDefault="00127FAE" w:rsidP="00127FAE">
      <w:pPr>
        <w:pStyle w:val="BodyText"/>
        <w:spacing w:before="3"/>
        <w:ind w:right="720"/>
        <w:rPr>
          <w:rFonts w:ascii="Times" w:hAnsi="Times"/>
          <w:color w:val="000000" w:themeColor="text1"/>
          <w:szCs w:val="16"/>
        </w:rPr>
      </w:pPr>
    </w:p>
    <w:p w14:paraId="5F4FBA20" w14:textId="34AF70C5" w:rsidR="00127FAE" w:rsidRDefault="00127FAE" w:rsidP="00127FAE">
      <w:r w:rsidRPr="00A56B5E">
        <w:rPr>
          <w:rFonts w:ascii="Times" w:hAnsi="Times"/>
          <w:color w:val="000000" w:themeColor="text1"/>
          <w:szCs w:val="16"/>
        </w:rPr>
        <w:t xml:space="preserve">Reprinted from The Lancet, Management of patients at risk of acute kidney injury. (p. 2139-51, Table 2), by </w:t>
      </w:r>
      <w:proofErr w:type="spellStart"/>
      <w:r w:rsidRPr="00A56B5E">
        <w:rPr>
          <w:rFonts w:ascii="Times" w:hAnsi="Times"/>
          <w:color w:val="000000" w:themeColor="text1"/>
          <w:szCs w:val="16"/>
        </w:rPr>
        <w:t>Vanmassenhove</w:t>
      </w:r>
      <w:proofErr w:type="spellEnd"/>
      <w:r w:rsidRPr="00A56B5E">
        <w:rPr>
          <w:rFonts w:ascii="Times" w:hAnsi="Times"/>
          <w:color w:val="000000" w:themeColor="text1"/>
          <w:szCs w:val="16"/>
        </w:rPr>
        <w:t xml:space="preserve"> J, </w:t>
      </w:r>
      <w:proofErr w:type="spellStart"/>
      <w:r w:rsidRPr="00A56B5E">
        <w:rPr>
          <w:rFonts w:ascii="Times" w:hAnsi="Times"/>
          <w:color w:val="000000" w:themeColor="text1"/>
          <w:szCs w:val="16"/>
        </w:rPr>
        <w:t>Kielstein</w:t>
      </w:r>
      <w:proofErr w:type="spellEnd"/>
      <w:r w:rsidRPr="00A56B5E">
        <w:rPr>
          <w:rFonts w:ascii="Times" w:hAnsi="Times"/>
          <w:color w:val="000000" w:themeColor="text1"/>
          <w:szCs w:val="16"/>
        </w:rPr>
        <w:t xml:space="preserve"> J, </w:t>
      </w:r>
      <w:proofErr w:type="spellStart"/>
      <w:r w:rsidRPr="00A56B5E">
        <w:rPr>
          <w:rFonts w:ascii="Times" w:hAnsi="Times"/>
          <w:color w:val="000000" w:themeColor="text1"/>
          <w:szCs w:val="16"/>
        </w:rPr>
        <w:t>Jorres</w:t>
      </w:r>
      <w:proofErr w:type="spellEnd"/>
      <w:r w:rsidRPr="00A56B5E">
        <w:rPr>
          <w:rFonts w:ascii="Times" w:hAnsi="Times"/>
          <w:color w:val="000000" w:themeColor="text1"/>
          <w:szCs w:val="16"/>
        </w:rPr>
        <w:t xml:space="preserve"> A, </w:t>
      </w:r>
      <w:proofErr w:type="spellStart"/>
      <w:r w:rsidRPr="00A56B5E">
        <w:rPr>
          <w:rFonts w:ascii="Times" w:hAnsi="Times"/>
          <w:color w:val="000000" w:themeColor="text1"/>
          <w:szCs w:val="16"/>
        </w:rPr>
        <w:t>Biesen</w:t>
      </w:r>
      <w:proofErr w:type="spellEnd"/>
      <w:r w:rsidRPr="00A56B5E">
        <w:rPr>
          <w:rFonts w:ascii="Times" w:hAnsi="Times"/>
          <w:color w:val="000000" w:themeColor="text1"/>
          <w:szCs w:val="16"/>
        </w:rPr>
        <w:t xml:space="preserve"> WV: Elsevier. 2017</w:t>
      </w:r>
      <w:r>
        <w:rPr>
          <w:rFonts w:ascii="Times" w:hAnsi="Times"/>
          <w:color w:val="000000" w:themeColor="text1"/>
          <w:szCs w:val="16"/>
        </w:rPr>
        <w:t>.</w:t>
      </w:r>
      <w:bookmarkStart w:id="0" w:name="_GoBack"/>
      <w:bookmarkEnd w:id="0"/>
    </w:p>
    <w:sectPr w:rsidR="00127FAE" w:rsidSect="007B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AE"/>
    <w:rsid w:val="00127FAE"/>
    <w:rsid w:val="00225492"/>
    <w:rsid w:val="002B706E"/>
    <w:rsid w:val="003A7930"/>
    <w:rsid w:val="00442978"/>
    <w:rsid w:val="007B55C7"/>
    <w:rsid w:val="007D5BED"/>
    <w:rsid w:val="00BD5B62"/>
    <w:rsid w:val="00BF5031"/>
    <w:rsid w:val="00CB7F4A"/>
    <w:rsid w:val="00D46D92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77C6E"/>
  <w15:chartTrackingRefBased/>
  <w15:docId w15:val="{31431367-FC96-7C4A-A44F-57AFB81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7FA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27F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Wallen, Kelli A</dc:creator>
  <cp:keywords/>
  <dc:description/>
  <cp:lastModifiedBy>Wallen, Kelli A</cp:lastModifiedBy>
  <cp:revision>1</cp:revision>
  <dcterms:created xsi:type="dcterms:W3CDTF">2019-06-05T16:35:00Z</dcterms:created>
  <dcterms:modified xsi:type="dcterms:W3CDTF">2019-06-05T16:36:00Z</dcterms:modified>
</cp:coreProperties>
</file>