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00D" w:rsidRPr="0094100D" w:rsidRDefault="0094100D" w:rsidP="0094100D">
      <w:pPr>
        <w:spacing w:after="0" w:line="360" w:lineRule="auto"/>
        <w:ind w:right="-285"/>
        <w:rPr>
          <w:rFonts w:ascii="Arial" w:eastAsia="Times New Roman" w:hAnsi="Arial" w:cs="Arial"/>
          <w:sz w:val="24"/>
          <w:szCs w:val="24"/>
          <w:lang w:bidi="ar-SA"/>
        </w:rPr>
      </w:pPr>
      <w:r w:rsidRPr="0094100D">
        <w:rPr>
          <w:rFonts w:ascii="Arial" w:eastAsia="Times New Roman" w:hAnsi="Arial" w:cs="Arial"/>
          <w:b/>
          <w:bCs/>
          <w:sz w:val="24"/>
          <w:szCs w:val="24"/>
          <w:lang w:bidi="ar-SA"/>
        </w:rPr>
        <w:t>Supplemental Digital Content 4: Doses of anesthetic agent required to reach each of the 5 endpoints for each experimental group.</w:t>
      </w:r>
      <w:r w:rsidRPr="0094100D">
        <w:rPr>
          <w:rFonts w:ascii="Arial" w:eastAsia="Times New Roman" w:hAnsi="Arial" w:cs="Arial"/>
          <w:sz w:val="24"/>
          <w:szCs w:val="24"/>
          <w:lang w:bidi="ar-SA"/>
        </w:rPr>
        <w:t xml:space="preserve">  </w:t>
      </w:r>
    </w:p>
    <w:p w:rsidR="0094100D" w:rsidRPr="0094100D" w:rsidRDefault="0094100D" w:rsidP="0094100D">
      <w:pPr>
        <w:spacing w:after="0" w:line="360" w:lineRule="auto"/>
        <w:ind w:right="-285"/>
        <w:rPr>
          <w:rFonts w:ascii="Arial" w:eastAsia="Times New Roman" w:hAnsi="Arial" w:cs="Arial"/>
          <w:sz w:val="24"/>
          <w:szCs w:val="24"/>
          <w:lang w:bidi="ar-SA"/>
        </w:rPr>
      </w:pP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2360"/>
        <w:gridCol w:w="1185"/>
        <w:gridCol w:w="1302"/>
        <w:gridCol w:w="1302"/>
        <w:gridCol w:w="1493"/>
        <w:gridCol w:w="1418"/>
      </w:tblGrid>
      <w:tr w:rsidR="0094100D" w:rsidRPr="0094100D" w:rsidTr="00B23E66">
        <w:trPr>
          <w:trHeight w:val="22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4100D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Experimental group</w:t>
            </w: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   Righting</w:t>
            </w: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ab/>
              <w:t xml:space="preserve">               Score ≥ 11</w:t>
            </w: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ab/>
              <w:t xml:space="preserve">            Score ≥ 14</w:t>
            </w: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ab/>
              <w:t xml:space="preserve">      Antinociception</w:t>
            </w: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ab/>
              <w:t xml:space="preserve">           Score = 16 *</w:t>
            </w:r>
          </w:p>
        </w:tc>
      </w:tr>
      <w:tr w:rsidR="0094100D" w:rsidRPr="0094100D" w:rsidTr="00B23E66">
        <w:trPr>
          <w:trHeight w:val="227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00D" w:rsidRPr="0094100D" w:rsidRDefault="0094100D" w:rsidP="009410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Etomidate dose (mg/kg) ± SD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94100D" w:rsidRPr="0094100D" w:rsidTr="00B23E66">
        <w:trPr>
          <w:trHeight w:val="22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“Control-group” (n=18)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1.8 ± 0.4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2.0 ± 0.4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3.2 ± 0.5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3.8 ± 0.5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4.6 ± 0.5</w:t>
            </w:r>
          </w:p>
        </w:tc>
      </w:tr>
      <w:tr w:rsidR="0094100D" w:rsidRPr="0094100D" w:rsidTr="00B23E66">
        <w:trPr>
          <w:trHeight w:val="227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Catheter only (n=13)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1. 9 ± 0.5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2.1 ± 0.4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3.3 ± 0.5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3.7 ± 0.5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4.6 ± 0.5</w:t>
            </w:r>
          </w:p>
        </w:tc>
      </w:tr>
      <w:tr w:rsidR="0094100D" w:rsidRPr="0094100D" w:rsidTr="00B23E66">
        <w:trPr>
          <w:trHeight w:val="227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Vehicle (n=6)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1.6 ± 0.2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1.8 ± 0.3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2.9 ± 0.4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4.0 ± 0.5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4.8 ± 0.5</w:t>
            </w:r>
          </w:p>
        </w:tc>
      </w:tr>
      <w:tr w:rsidR="0094100D" w:rsidRPr="0094100D" w:rsidTr="00B23E66">
        <w:trPr>
          <w:trHeight w:val="227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“Off-target group” (n=5)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1.7 ± 0.6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2.1 ± 0.4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3.1 ± 1.8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3.7 ± 1.7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5.3 ± 2.6</w:t>
            </w:r>
          </w:p>
        </w:tc>
      </w:tr>
      <w:tr w:rsidR="0094100D" w:rsidRPr="0094100D" w:rsidTr="00B23E66">
        <w:trPr>
          <w:trHeight w:val="227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Lesion group (n=7)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2.2 ± 0.5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2.6 ± 0.6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4.4 ± 1.4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6.1 ± 2.7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6.8 ± 2.3</w:t>
            </w:r>
          </w:p>
        </w:tc>
      </w:tr>
      <w:tr w:rsidR="0094100D" w:rsidRPr="0094100D" w:rsidTr="00B23E66">
        <w:trPr>
          <w:trHeight w:val="227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67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Propofol dose (mg/kg) ± SD</w:t>
            </w:r>
          </w:p>
        </w:tc>
      </w:tr>
      <w:tr w:rsidR="0094100D" w:rsidRPr="0094100D" w:rsidTr="00B23E66">
        <w:trPr>
          <w:trHeight w:val="22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“Control-group” (n=21)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9.7 ± 2.1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10.6 ± 1.4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14.2 ± 2.2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15.6 ± 2.1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19.1 ± 2.3</w:t>
            </w:r>
          </w:p>
        </w:tc>
      </w:tr>
      <w:tr w:rsidR="0094100D" w:rsidRPr="0094100D" w:rsidTr="00B23E66">
        <w:trPr>
          <w:trHeight w:val="227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Catheter only (n=16)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9.9 ± 2.2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10.5 ± 1.5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14.3 ± 2.5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15.7 ± 2.3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19.5 ± 2.4</w:t>
            </w:r>
          </w:p>
        </w:tc>
      </w:tr>
      <w:tr w:rsidR="0094100D" w:rsidRPr="0094100D" w:rsidTr="00B23E66">
        <w:trPr>
          <w:trHeight w:val="227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Vehicle (n=5)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9.2 ± 1.8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10.8 ± 1.1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14.0 ± 0.0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15.2 ± 1.1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18.0 ± 1.4</w:t>
            </w:r>
          </w:p>
        </w:tc>
      </w:tr>
      <w:tr w:rsidR="0094100D" w:rsidRPr="0094100D" w:rsidTr="00B23E66">
        <w:trPr>
          <w:trHeight w:val="227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“Off-target group” (n=10)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9.0 ± 2.4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10.4 ± 3.0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14.2 ± 3.9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15.2 ± 3.9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19.6 ± 3.5</w:t>
            </w:r>
          </w:p>
        </w:tc>
      </w:tr>
      <w:tr w:rsidR="0094100D" w:rsidRPr="0094100D" w:rsidTr="00B23E66">
        <w:trPr>
          <w:trHeight w:val="227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“Lesion-group” (n=6)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10.8 ± 3.4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13.2 ± 4.0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19.5 ± 12.3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22.2 ± 11.9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26.0 ± 11.0</w:t>
            </w:r>
          </w:p>
        </w:tc>
      </w:tr>
      <w:tr w:rsidR="0094100D" w:rsidRPr="0094100D" w:rsidTr="00B23E66">
        <w:trPr>
          <w:trHeight w:val="227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67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Saffan</w:t>
            </w:r>
            <w:proofErr w:type="spellEnd"/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dose (mg/kg) ± SD</w:t>
            </w:r>
          </w:p>
        </w:tc>
      </w:tr>
      <w:tr w:rsidR="0094100D" w:rsidRPr="0094100D" w:rsidTr="00B23E66">
        <w:trPr>
          <w:trHeight w:val="22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“Control-group” (n=18)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4.1 ± 1.2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4.6 ± 1.3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6.9 ± 1.1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9.1 ± 1.5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11.2 ± 2.1</w:t>
            </w:r>
          </w:p>
        </w:tc>
      </w:tr>
      <w:tr w:rsidR="0094100D" w:rsidRPr="0094100D" w:rsidTr="00B23E66">
        <w:trPr>
          <w:trHeight w:val="227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Catheter only (n=12)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3.6 ± 0.8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3.9 ± 0.7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6.5 ± 0.8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8.5 ± 0.9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10.4 ± 1.2</w:t>
            </w:r>
          </w:p>
        </w:tc>
      </w:tr>
      <w:tr w:rsidR="0094100D" w:rsidRPr="0094100D" w:rsidTr="00B23E66">
        <w:trPr>
          <w:trHeight w:val="227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Vehicle (n=6)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5.1 ± 1.4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6.0 ± 0.9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7.8 ± 0.9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10.5 ± 1.4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12.9 ± 2.7</w:t>
            </w:r>
          </w:p>
        </w:tc>
      </w:tr>
      <w:tr w:rsidR="0094100D" w:rsidRPr="0094100D" w:rsidTr="00B23E66">
        <w:trPr>
          <w:trHeight w:val="227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“Off-target group” (n=7)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4.1 ± 2.3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5.1 ± 1.9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7.2 ± 1.8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9.5 ± 2.5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11.1 ± 2.8</w:t>
            </w:r>
          </w:p>
        </w:tc>
      </w:tr>
      <w:tr w:rsidR="0094100D" w:rsidRPr="0094100D" w:rsidTr="00B23E66">
        <w:trPr>
          <w:trHeight w:val="227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“Lesion-group” (n=6)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3.0 ± 0.9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5.1 ± 0.7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6.6 ± 1.5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8.7 ± 2.9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10.5 ± 2.7</w:t>
            </w:r>
          </w:p>
        </w:tc>
      </w:tr>
      <w:tr w:rsidR="0094100D" w:rsidRPr="0094100D" w:rsidTr="00B23E66">
        <w:trPr>
          <w:trHeight w:val="227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67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Medetomidine dose (µg/kg) ± SD  </w:t>
            </w:r>
          </w:p>
        </w:tc>
      </w:tr>
      <w:tr w:rsidR="0094100D" w:rsidRPr="0094100D" w:rsidTr="00B23E66">
        <w:trPr>
          <w:trHeight w:val="22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“Control-group” (n=18)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hAnsi="Calibri" w:cs="Calibri"/>
                <w:sz w:val="16"/>
                <w:szCs w:val="16"/>
              </w:rPr>
              <w:t>80.9 ± 7.7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hAnsi="Calibri" w:cs="Calibri"/>
                <w:sz w:val="16"/>
                <w:szCs w:val="16"/>
              </w:rPr>
              <w:t>89.8 ± 11.8  *</w:t>
            </w:r>
          </w:p>
        </w:tc>
      </w:tr>
      <w:tr w:rsidR="0094100D" w:rsidRPr="0094100D" w:rsidTr="00B23E66">
        <w:trPr>
          <w:trHeight w:val="227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Catheter only (n=12)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hAnsi="Calibri" w:cs="Calibri"/>
                <w:sz w:val="16"/>
                <w:szCs w:val="16"/>
              </w:rPr>
              <w:t>80.0 ± 6.8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hAnsi="Calibri" w:cs="Calibri"/>
                <w:sz w:val="16"/>
                <w:szCs w:val="16"/>
              </w:rPr>
              <w:t>89.3 ± 11.7  *</w:t>
            </w:r>
          </w:p>
        </w:tc>
      </w:tr>
      <w:tr w:rsidR="0094100D" w:rsidRPr="0094100D" w:rsidTr="00B23E66">
        <w:trPr>
          <w:trHeight w:val="227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Vehicle (n=6)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hAnsi="Calibri" w:cs="Calibri"/>
                <w:sz w:val="16"/>
                <w:szCs w:val="16"/>
              </w:rPr>
              <w:t>82.7 ± 9.7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hAnsi="Calibri" w:cs="Calibri"/>
                <w:sz w:val="16"/>
                <w:szCs w:val="16"/>
              </w:rPr>
              <w:t>90.7 ± 13.1  *</w:t>
            </w:r>
          </w:p>
        </w:tc>
      </w:tr>
      <w:tr w:rsidR="0094100D" w:rsidRPr="0094100D" w:rsidTr="00B23E66">
        <w:trPr>
          <w:trHeight w:val="227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“Off-target group” (n=6)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hAnsi="Calibri" w:cs="Calibri"/>
                <w:sz w:val="16"/>
                <w:szCs w:val="16"/>
              </w:rPr>
              <w:t>88.0 ± 15.2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hAnsi="Calibri" w:cs="Calibri"/>
                <w:sz w:val="16"/>
                <w:szCs w:val="16"/>
              </w:rPr>
              <w:t>88.0 ± 15.2  *</w:t>
            </w:r>
          </w:p>
        </w:tc>
      </w:tr>
      <w:tr w:rsidR="0094100D" w:rsidRPr="0094100D" w:rsidTr="00B23E66">
        <w:trPr>
          <w:trHeight w:val="227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“Lesion-group” (n=5)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hAnsi="Calibri" w:cs="Calibri"/>
                <w:sz w:val="16"/>
                <w:szCs w:val="16"/>
              </w:rPr>
              <w:t>84.8 ± 10.7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hAnsi="Calibri" w:cs="Calibri"/>
                <w:sz w:val="16"/>
                <w:szCs w:val="16"/>
              </w:rPr>
              <w:t>100.8 ± 7.2  *</w:t>
            </w:r>
          </w:p>
        </w:tc>
      </w:tr>
      <w:tr w:rsidR="0094100D" w:rsidRPr="0094100D" w:rsidTr="00B23E66">
        <w:trPr>
          <w:trHeight w:val="227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67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Ketamine dose (mg/kg) ± SD</w:t>
            </w:r>
          </w:p>
        </w:tc>
      </w:tr>
      <w:tr w:rsidR="0094100D" w:rsidRPr="0094100D" w:rsidTr="00B23E66">
        <w:trPr>
          <w:trHeight w:val="22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“Control-group” (n=19)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27.1 ± 5.9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41.5 ± 10.5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67.8 ± 11.7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81.3 ± 12.8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109.5 ± 10.7</w:t>
            </w:r>
          </w:p>
        </w:tc>
      </w:tr>
      <w:tr w:rsidR="0094100D" w:rsidRPr="0094100D" w:rsidTr="00B23E66">
        <w:trPr>
          <w:trHeight w:val="227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Catheter only (n=14)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26.4 ± 5.8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39.5 ± 11.5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64.5 ± 11.8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80.0 ± 14.4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110.0 ± 12.4</w:t>
            </w:r>
          </w:p>
        </w:tc>
      </w:tr>
      <w:tr w:rsidR="0094100D" w:rsidRPr="0094100D" w:rsidTr="00B23E66">
        <w:trPr>
          <w:trHeight w:val="227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Vehicle (n=5)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29.0 ± 6.5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47.0 ± 4.5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77.0 ± 4.5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85.0 ± 6.1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108.0 ± 2.7</w:t>
            </w:r>
          </w:p>
        </w:tc>
      </w:tr>
      <w:tr w:rsidR="0094100D" w:rsidRPr="0094100D" w:rsidTr="00B23E66">
        <w:trPr>
          <w:trHeight w:val="227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“Off-target group” (n=7)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30.0 ± 8.2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41.4 ± 10.7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70.0 ± 11.6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74.3 ± 12.7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95.7 ± 7.8</w:t>
            </w:r>
          </w:p>
        </w:tc>
      </w:tr>
      <w:tr w:rsidR="0094100D" w:rsidRPr="0094100D" w:rsidTr="00B23E66">
        <w:trPr>
          <w:trHeight w:val="227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“Lesion-group” (n=6)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30.0 ± 6.3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36.7 ± 10.3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60.0 ± 11.0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70.0 ± 12.7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4100D">
              <w:rPr>
                <w:rFonts w:ascii="Calibri" w:eastAsia="Times New Roman" w:hAnsi="Calibri" w:cs="Calibri"/>
                <w:sz w:val="16"/>
                <w:szCs w:val="16"/>
              </w:rPr>
              <w:t>98.3 ± 11.7</w:t>
            </w:r>
          </w:p>
        </w:tc>
      </w:tr>
    </w:tbl>
    <w:p w:rsidR="0094100D" w:rsidRPr="0094100D" w:rsidRDefault="0094100D" w:rsidP="0094100D">
      <w:pPr>
        <w:spacing w:after="0" w:line="360" w:lineRule="auto"/>
        <w:ind w:right="-285"/>
        <w:rPr>
          <w:rFonts w:ascii="Arial" w:eastAsia="Times New Roman" w:hAnsi="Arial" w:cs="Arial"/>
          <w:sz w:val="24"/>
          <w:szCs w:val="24"/>
          <w:lang w:bidi="ar-SA"/>
        </w:rPr>
      </w:pPr>
    </w:p>
    <w:p w:rsidR="0094100D" w:rsidRPr="0094100D" w:rsidRDefault="0094100D" w:rsidP="0094100D">
      <w:pPr>
        <w:spacing w:after="0"/>
        <w:rPr>
          <w:rFonts w:ascii="Arial" w:eastAsia="Times New Roman" w:hAnsi="Arial" w:cs="Arial"/>
          <w:sz w:val="20"/>
          <w:szCs w:val="20"/>
          <w:lang w:bidi="ar-SA"/>
        </w:rPr>
      </w:pPr>
    </w:p>
    <w:p w:rsidR="0094100D" w:rsidRPr="0094100D" w:rsidRDefault="0094100D" w:rsidP="0094100D">
      <w:pPr>
        <w:spacing w:after="0"/>
        <w:rPr>
          <w:rFonts w:asciiTheme="minorBidi" w:eastAsia="Times New Roman" w:hAnsiTheme="minorBidi"/>
          <w:sz w:val="20"/>
          <w:szCs w:val="20"/>
        </w:rPr>
      </w:pPr>
      <w:r w:rsidRPr="0094100D">
        <w:rPr>
          <w:rFonts w:asciiTheme="minorBidi" w:eastAsia="Times New Roman" w:hAnsiTheme="minorBidi"/>
          <w:sz w:val="20"/>
          <w:szCs w:val="20"/>
        </w:rPr>
        <w:t>*   For medetomidine maximal score achieved rather than score= 16.</w:t>
      </w:r>
    </w:p>
    <w:p w:rsidR="00C80717" w:rsidRDefault="00C80717">
      <w:bookmarkStart w:id="0" w:name="_GoBack"/>
      <w:bookmarkEnd w:id="0"/>
    </w:p>
    <w:sectPr w:rsidR="00C8071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46E87CCC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50D50E4"/>
    <w:multiLevelType w:val="hybridMultilevel"/>
    <w:tmpl w:val="0986A506"/>
    <w:lvl w:ilvl="0" w:tplc="F40C39D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323AE"/>
    <w:multiLevelType w:val="hybridMultilevel"/>
    <w:tmpl w:val="2EF0F334"/>
    <w:lvl w:ilvl="0" w:tplc="D2382F3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65F8A"/>
    <w:multiLevelType w:val="hybridMultilevel"/>
    <w:tmpl w:val="77DCBEB4"/>
    <w:lvl w:ilvl="0" w:tplc="5C2690F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34F4D"/>
    <w:multiLevelType w:val="hybridMultilevel"/>
    <w:tmpl w:val="BBF07860"/>
    <w:lvl w:ilvl="0" w:tplc="91CCC00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733D2"/>
    <w:multiLevelType w:val="hybridMultilevel"/>
    <w:tmpl w:val="77C89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DE18CD"/>
    <w:multiLevelType w:val="hybridMultilevel"/>
    <w:tmpl w:val="4A4EE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8B1BC4"/>
    <w:multiLevelType w:val="hybridMultilevel"/>
    <w:tmpl w:val="887A5B90"/>
    <w:lvl w:ilvl="0" w:tplc="E904D44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77882"/>
    <w:multiLevelType w:val="hybridMultilevel"/>
    <w:tmpl w:val="1EC61D4A"/>
    <w:lvl w:ilvl="0" w:tplc="719CD5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2E2A8A"/>
    <w:multiLevelType w:val="hybridMultilevel"/>
    <w:tmpl w:val="114CF730"/>
    <w:lvl w:ilvl="0" w:tplc="C29455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A2A36"/>
    <w:multiLevelType w:val="hybridMultilevel"/>
    <w:tmpl w:val="D002835E"/>
    <w:lvl w:ilvl="0" w:tplc="2892BF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660D32"/>
    <w:multiLevelType w:val="hybridMultilevel"/>
    <w:tmpl w:val="C7DA8658"/>
    <w:lvl w:ilvl="0" w:tplc="F918C074">
      <w:numFmt w:val="bullet"/>
      <w:lvlText w:val=""/>
      <w:lvlJc w:val="left"/>
      <w:pPr>
        <w:ind w:left="81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7BB054FC"/>
    <w:multiLevelType w:val="hybridMultilevel"/>
    <w:tmpl w:val="3B2A17F6"/>
    <w:lvl w:ilvl="0" w:tplc="A500A31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9"/>
  </w:num>
  <w:num w:numId="6">
    <w:abstractNumId w:val="11"/>
  </w:num>
  <w:num w:numId="7">
    <w:abstractNumId w:val="2"/>
  </w:num>
  <w:num w:numId="8">
    <w:abstractNumId w:val="3"/>
  </w:num>
  <w:num w:numId="9">
    <w:abstractNumId w:val="12"/>
  </w:num>
  <w:num w:numId="10">
    <w:abstractNumId w:val="4"/>
  </w:num>
  <w:num w:numId="11">
    <w:abstractNumId w:val="7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0D"/>
    <w:rsid w:val="00024870"/>
    <w:rsid w:val="001E09E6"/>
    <w:rsid w:val="00304B64"/>
    <w:rsid w:val="00394677"/>
    <w:rsid w:val="004A6300"/>
    <w:rsid w:val="005D5A9C"/>
    <w:rsid w:val="0094100D"/>
    <w:rsid w:val="009B316F"/>
    <w:rsid w:val="00A16317"/>
    <w:rsid w:val="00A31B31"/>
    <w:rsid w:val="00BA3A9D"/>
    <w:rsid w:val="00C078EA"/>
    <w:rsid w:val="00C80717"/>
    <w:rsid w:val="00E10EA7"/>
    <w:rsid w:val="00E932B1"/>
    <w:rsid w:val="00EB3FBE"/>
    <w:rsid w:val="00FA5F67"/>
    <w:rsid w:val="00FD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410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100D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94100D"/>
  </w:style>
  <w:style w:type="paragraph" w:styleId="ListParagraph">
    <w:name w:val="List Paragraph"/>
    <w:basedOn w:val="Normal"/>
    <w:uiPriority w:val="34"/>
    <w:qFormat/>
    <w:rsid w:val="0094100D"/>
    <w:pPr>
      <w:bidi/>
      <w:ind w:left="720"/>
      <w:contextualSpacing/>
    </w:pPr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4100D"/>
    <w:pPr>
      <w:bidi/>
      <w:spacing w:after="120"/>
      <w:ind w:left="283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4100D"/>
    <w:rPr>
      <w:rFonts w:ascii="Arial" w:hAnsi="Arial" w:cs="Arial"/>
    </w:rPr>
  </w:style>
  <w:style w:type="table" w:customStyle="1" w:styleId="TableGrid1">
    <w:name w:val="Table Grid1"/>
    <w:basedOn w:val="TableNormal"/>
    <w:next w:val="TableGrid"/>
    <w:uiPriority w:val="59"/>
    <w:rsid w:val="0094100D"/>
    <w:pPr>
      <w:spacing w:after="0" w:line="240" w:lineRule="auto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41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100D"/>
    <w:pPr>
      <w:bidi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0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100D"/>
    <w:pPr>
      <w:tabs>
        <w:tab w:val="center" w:pos="4320"/>
        <w:tab w:val="right" w:pos="8640"/>
      </w:tabs>
      <w:bidi/>
      <w:spacing w:after="0" w:line="240" w:lineRule="auto"/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94100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4100D"/>
    <w:pPr>
      <w:tabs>
        <w:tab w:val="center" w:pos="4320"/>
        <w:tab w:val="right" w:pos="8640"/>
      </w:tabs>
      <w:bidi/>
      <w:spacing w:after="0" w:line="240" w:lineRule="auto"/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94100D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94100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1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100D"/>
    <w:pPr>
      <w:bidi/>
      <w:spacing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100D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0D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100D"/>
    <w:pPr>
      <w:spacing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9410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941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94100D"/>
    <w:pPr>
      <w:bidi/>
      <w:spacing w:after="0"/>
      <w:jc w:val="center"/>
    </w:pPr>
    <w:rPr>
      <w:rFonts w:ascii="Arial" w:hAnsi="Arial"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4100D"/>
    <w:rPr>
      <w:rFonts w:ascii="Arial" w:hAnsi="Arial" w:cs="Arial"/>
      <w:noProof/>
    </w:rPr>
  </w:style>
  <w:style w:type="paragraph" w:customStyle="1" w:styleId="EndNoteBibliography">
    <w:name w:val="EndNote Bibliography"/>
    <w:basedOn w:val="Normal"/>
    <w:link w:val="EndNoteBibliographyChar"/>
    <w:rsid w:val="0094100D"/>
    <w:pPr>
      <w:bidi/>
      <w:spacing w:line="240" w:lineRule="auto"/>
    </w:pPr>
    <w:rPr>
      <w:rFonts w:ascii="Arial" w:hAnsi="Arial"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4100D"/>
    <w:rPr>
      <w:rFonts w:ascii="Arial" w:hAnsi="Arial" w:cs="Arial"/>
      <w:noProof/>
    </w:rPr>
  </w:style>
  <w:style w:type="table" w:customStyle="1" w:styleId="TableGrid21">
    <w:name w:val="Table Grid21"/>
    <w:basedOn w:val="TableNormal"/>
    <w:next w:val="TableGrid"/>
    <w:uiPriority w:val="59"/>
    <w:rsid w:val="00941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d">
    <w:name w:val="gd"/>
    <w:basedOn w:val="DefaultParagraphFont"/>
    <w:rsid w:val="0094100D"/>
  </w:style>
  <w:style w:type="character" w:customStyle="1" w:styleId="g3">
    <w:name w:val="g3"/>
    <w:basedOn w:val="DefaultParagraphFont"/>
    <w:rsid w:val="0094100D"/>
  </w:style>
  <w:style w:type="character" w:customStyle="1" w:styleId="hb">
    <w:name w:val="hb"/>
    <w:basedOn w:val="DefaultParagraphFont"/>
    <w:rsid w:val="0094100D"/>
  </w:style>
  <w:style w:type="character" w:customStyle="1" w:styleId="g2">
    <w:name w:val="g2"/>
    <w:basedOn w:val="DefaultParagraphFont"/>
    <w:rsid w:val="009410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410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100D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94100D"/>
  </w:style>
  <w:style w:type="paragraph" w:styleId="ListParagraph">
    <w:name w:val="List Paragraph"/>
    <w:basedOn w:val="Normal"/>
    <w:uiPriority w:val="34"/>
    <w:qFormat/>
    <w:rsid w:val="0094100D"/>
    <w:pPr>
      <w:bidi/>
      <w:ind w:left="720"/>
      <w:contextualSpacing/>
    </w:pPr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4100D"/>
    <w:pPr>
      <w:bidi/>
      <w:spacing w:after="120"/>
      <w:ind w:left="283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4100D"/>
    <w:rPr>
      <w:rFonts w:ascii="Arial" w:hAnsi="Arial" w:cs="Arial"/>
    </w:rPr>
  </w:style>
  <w:style w:type="table" w:customStyle="1" w:styleId="TableGrid1">
    <w:name w:val="Table Grid1"/>
    <w:basedOn w:val="TableNormal"/>
    <w:next w:val="TableGrid"/>
    <w:uiPriority w:val="59"/>
    <w:rsid w:val="0094100D"/>
    <w:pPr>
      <w:spacing w:after="0" w:line="240" w:lineRule="auto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41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100D"/>
    <w:pPr>
      <w:bidi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0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100D"/>
    <w:pPr>
      <w:tabs>
        <w:tab w:val="center" w:pos="4320"/>
        <w:tab w:val="right" w:pos="8640"/>
      </w:tabs>
      <w:bidi/>
      <w:spacing w:after="0" w:line="240" w:lineRule="auto"/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94100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4100D"/>
    <w:pPr>
      <w:tabs>
        <w:tab w:val="center" w:pos="4320"/>
        <w:tab w:val="right" w:pos="8640"/>
      </w:tabs>
      <w:bidi/>
      <w:spacing w:after="0" w:line="240" w:lineRule="auto"/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94100D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94100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1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100D"/>
    <w:pPr>
      <w:bidi/>
      <w:spacing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100D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0D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100D"/>
    <w:pPr>
      <w:spacing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9410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941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94100D"/>
    <w:pPr>
      <w:bidi/>
      <w:spacing w:after="0"/>
      <w:jc w:val="center"/>
    </w:pPr>
    <w:rPr>
      <w:rFonts w:ascii="Arial" w:hAnsi="Arial"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4100D"/>
    <w:rPr>
      <w:rFonts w:ascii="Arial" w:hAnsi="Arial" w:cs="Arial"/>
      <w:noProof/>
    </w:rPr>
  </w:style>
  <w:style w:type="paragraph" w:customStyle="1" w:styleId="EndNoteBibliography">
    <w:name w:val="EndNote Bibliography"/>
    <w:basedOn w:val="Normal"/>
    <w:link w:val="EndNoteBibliographyChar"/>
    <w:rsid w:val="0094100D"/>
    <w:pPr>
      <w:bidi/>
      <w:spacing w:line="240" w:lineRule="auto"/>
    </w:pPr>
    <w:rPr>
      <w:rFonts w:ascii="Arial" w:hAnsi="Arial"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4100D"/>
    <w:rPr>
      <w:rFonts w:ascii="Arial" w:hAnsi="Arial" w:cs="Arial"/>
      <w:noProof/>
    </w:rPr>
  </w:style>
  <w:style w:type="table" w:customStyle="1" w:styleId="TableGrid21">
    <w:name w:val="Table Grid21"/>
    <w:basedOn w:val="TableNormal"/>
    <w:next w:val="TableGrid"/>
    <w:uiPriority w:val="59"/>
    <w:rsid w:val="00941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d">
    <w:name w:val="gd"/>
    <w:basedOn w:val="DefaultParagraphFont"/>
    <w:rsid w:val="0094100D"/>
  </w:style>
  <w:style w:type="character" w:customStyle="1" w:styleId="g3">
    <w:name w:val="g3"/>
    <w:basedOn w:val="DefaultParagraphFont"/>
    <w:rsid w:val="0094100D"/>
  </w:style>
  <w:style w:type="character" w:customStyle="1" w:styleId="hb">
    <w:name w:val="hb"/>
    <w:basedOn w:val="DefaultParagraphFont"/>
    <w:rsid w:val="0094100D"/>
  </w:style>
  <w:style w:type="character" w:customStyle="1" w:styleId="g2">
    <w:name w:val="g2"/>
    <w:basedOn w:val="DefaultParagraphFont"/>
    <w:rsid w:val="00941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AnneMinert</dc:creator>
  <cp:lastModifiedBy>AnneMinert</cp:lastModifiedBy>
  <cp:revision>2</cp:revision>
  <dcterms:created xsi:type="dcterms:W3CDTF">2019-10-31T09:11:00Z</dcterms:created>
  <dcterms:modified xsi:type="dcterms:W3CDTF">2019-10-31T09:11:00Z</dcterms:modified>
</cp:coreProperties>
</file>