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0FC0" w14:textId="7B434B2C" w:rsidR="00171DCD" w:rsidRDefault="00171DCD" w:rsidP="00310664">
      <w:pPr>
        <w:rPr>
          <w:b/>
          <w:bCs/>
        </w:rPr>
      </w:pPr>
      <w:r w:rsidRPr="006E2BDD">
        <w:rPr>
          <w:b/>
          <w:bCs/>
        </w:rPr>
        <w:t>Supplemental Digital Content 1</w:t>
      </w:r>
    </w:p>
    <w:p w14:paraId="5FA7D5E9" w14:textId="77777777" w:rsidR="00CA684B" w:rsidRPr="006E2BDD" w:rsidRDefault="00CA684B" w:rsidP="00310664">
      <w:pPr>
        <w:rPr>
          <w:b/>
          <w:bCs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2258"/>
        <w:gridCol w:w="1985"/>
        <w:gridCol w:w="850"/>
        <w:gridCol w:w="1985"/>
        <w:gridCol w:w="850"/>
        <w:gridCol w:w="1276"/>
      </w:tblGrid>
      <w:tr w:rsidR="00696436" w:rsidRPr="003015BB" w14:paraId="6D2D2ECA" w14:textId="77777777" w:rsidTr="00C9240D">
        <w:trPr>
          <w:trHeight w:val="567"/>
          <w:jc w:val="center"/>
        </w:trPr>
        <w:tc>
          <w:tcPr>
            <w:tcW w:w="949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A8A7812" w14:textId="4BCADE6D" w:rsidR="00696436" w:rsidRDefault="00696436" w:rsidP="00C9240D">
            <w:pPr>
              <w:spacing w:before="80" w:after="80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Differences in Pain</w:t>
            </w:r>
            <w:r w:rsidRPr="00220F8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Score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s</w:t>
            </w:r>
            <w:r w:rsidRPr="00220F8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3 and 12 Months </w:t>
            </w:r>
            <w:r w:rsidRPr="00220F8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After Total Knee Arthroplasty in the Spinal and General Anesthesia and in the No-tourniquet and Tourniquet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Groups</w:t>
            </w:r>
          </w:p>
        </w:tc>
      </w:tr>
      <w:tr w:rsidR="00696436" w:rsidRPr="003015BB" w14:paraId="1A953033" w14:textId="77777777" w:rsidTr="00C9240D">
        <w:trPr>
          <w:trHeight w:val="290"/>
          <w:jc w:val="center"/>
        </w:trPr>
        <w:tc>
          <w:tcPr>
            <w:tcW w:w="2547" w:type="dxa"/>
            <w:gridSpan w:val="2"/>
            <w:tcBorders>
              <w:right w:val="nil"/>
            </w:tcBorders>
            <w:vAlign w:val="bottom"/>
          </w:tcPr>
          <w:p w14:paraId="7968FCEE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4BBC38E9" w14:textId="6E5D938D" w:rsidR="00696436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Spinal vs. </w:t>
            </w:r>
            <w:r w:rsidR="00A60D5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g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eneral </w:t>
            </w:r>
            <w:r w:rsidR="00A60D5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nesthesia</w:t>
            </w:r>
          </w:p>
          <w:p w14:paraId="0EE025A1" w14:textId="77777777" w:rsidR="00696436" w:rsidRPr="00AC238E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Difference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(</w:t>
            </w:r>
            <w:r w:rsidRPr="00AC238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95% CI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481042F1" w14:textId="77777777" w:rsidR="00696436" w:rsidRPr="00AC238E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E4912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>P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Value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32E4ECE5" w14:textId="6DF3372D" w:rsidR="00696436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No tourniquet vs. </w:t>
            </w:r>
            <w:r w:rsidR="00A60D5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ourniquet</w:t>
            </w:r>
          </w:p>
          <w:p w14:paraId="1360E2C3" w14:textId="77777777" w:rsidR="00696436" w:rsidRPr="00AC238E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Difference (95% CI)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06E816F4" w14:textId="77777777" w:rsidR="00696436" w:rsidRPr="00AC238E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C7A0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GB"/>
              </w:rPr>
              <w:t>P</w:t>
            </w:r>
            <w:r w:rsidRPr="004C7A0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Value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10C54664" w14:textId="78EC43CB" w:rsidR="00696436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Anesthesia x </w:t>
            </w:r>
            <w:r w:rsidR="00A60D5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ourniquet </w:t>
            </w:r>
            <w:r w:rsidR="00A60D5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nteraction </w:t>
            </w:r>
            <w:r w:rsidR="00A60D53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ffect</w:t>
            </w:r>
          </w:p>
          <w:p w14:paraId="7B2A2332" w14:textId="77777777" w:rsidR="00696436" w:rsidRPr="00AC238E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C7A0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GB"/>
              </w:rPr>
              <w:t>P</w:t>
            </w:r>
            <w:r w:rsidRPr="004C7A0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Value</w:t>
            </w:r>
          </w:p>
        </w:tc>
      </w:tr>
      <w:tr w:rsidR="00696436" w:rsidRPr="003015BB" w14:paraId="0B9574BC" w14:textId="77777777" w:rsidTr="00C9240D">
        <w:trPr>
          <w:trHeight w:val="29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right w:val="nil"/>
            </w:tcBorders>
            <w:vAlign w:val="bottom"/>
          </w:tcPr>
          <w:p w14:paraId="6866D1E4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3 months after operation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B8F0EF7" w14:textId="77777777" w:rsidR="00696436" w:rsidRPr="00537F64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00788D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(n = 391)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A3DEC3A" w14:textId="77777777" w:rsidR="00696436" w:rsidRPr="00537F64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49C4663" w14:textId="77777777" w:rsidR="00696436" w:rsidRPr="00AC238E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(n = 391)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A450B39" w14:textId="77777777" w:rsidR="00696436" w:rsidRPr="00AC238E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5CC5996" w14:textId="77777777" w:rsidR="00696436" w:rsidRPr="00AC238E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96436" w:rsidRPr="003015BB" w14:paraId="161E2203" w14:textId="77777777" w:rsidTr="00C9240D">
        <w:trPr>
          <w:trHeight w:val="290"/>
          <w:jc w:val="center"/>
        </w:trPr>
        <w:tc>
          <w:tcPr>
            <w:tcW w:w="289" w:type="dxa"/>
            <w:tcBorders>
              <w:right w:val="nil"/>
            </w:tcBorders>
            <w:vAlign w:val="bottom"/>
          </w:tcPr>
          <w:p w14:paraId="7FAC0E55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AEE25F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sz w:val="20"/>
                <w:szCs w:val="20"/>
                <w:lang w:eastAsia="en-GB"/>
              </w:rPr>
              <w:t>Average pain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7E2F03FD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CD5">
              <w:rPr>
                <w:rFonts w:cstheme="minorHAnsi"/>
                <w:sz w:val="20"/>
                <w:szCs w:val="20"/>
              </w:rPr>
              <w:t>-0.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40CD5">
              <w:rPr>
                <w:rFonts w:cstheme="minorHAnsi"/>
                <w:sz w:val="20"/>
                <w:szCs w:val="20"/>
              </w:rPr>
              <w:t xml:space="preserve"> (-0.7 to 0.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C40CD5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6CB90AED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CD5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165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11E5166B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CD5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C40CD5">
              <w:rPr>
                <w:rFonts w:cstheme="minorHAnsi"/>
                <w:sz w:val="20"/>
                <w:szCs w:val="20"/>
              </w:rPr>
              <w:t xml:space="preserve"> (-0.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40CD5">
              <w:rPr>
                <w:rFonts w:cstheme="minorHAnsi"/>
                <w:sz w:val="20"/>
                <w:szCs w:val="20"/>
              </w:rPr>
              <w:t xml:space="preserve"> to 0.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40CD5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1C99C524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0CD5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669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522CA761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DA7CEE">
              <w:rPr>
                <w:rFonts w:cstheme="minorHAnsi"/>
                <w:sz w:val="20"/>
                <w:szCs w:val="20"/>
              </w:rPr>
              <w:t>0.6</w:t>
            </w:r>
            <w:r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696436" w:rsidRPr="003015BB" w14:paraId="544D4539" w14:textId="77777777" w:rsidTr="00C9240D">
        <w:trPr>
          <w:trHeight w:val="290"/>
          <w:jc w:val="center"/>
        </w:trPr>
        <w:tc>
          <w:tcPr>
            <w:tcW w:w="289" w:type="dxa"/>
            <w:tcBorders>
              <w:right w:val="nil"/>
            </w:tcBorders>
            <w:vAlign w:val="bottom"/>
          </w:tcPr>
          <w:p w14:paraId="1D0B848A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657E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sz w:val="20"/>
                <w:szCs w:val="20"/>
                <w:lang w:eastAsia="en-GB"/>
              </w:rPr>
              <w:t>Worst pain in 24 hours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378A77ED" w14:textId="77777777" w:rsidR="00696436" w:rsidRPr="00DA7CEE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A7CEE">
              <w:rPr>
                <w:rFonts w:cstheme="minorHAnsi"/>
                <w:sz w:val="20"/>
                <w:szCs w:val="20"/>
              </w:rPr>
              <w:t>-0.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DA7CEE">
              <w:rPr>
                <w:rFonts w:cstheme="minorHAnsi"/>
                <w:sz w:val="20"/>
                <w:szCs w:val="20"/>
              </w:rPr>
              <w:t xml:space="preserve"> (-0.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DA7CEE">
              <w:rPr>
                <w:rFonts w:cstheme="minorHAnsi"/>
                <w:sz w:val="20"/>
                <w:szCs w:val="20"/>
              </w:rPr>
              <w:t xml:space="preserve"> to 0.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DA7CEE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5627A12E" w14:textId="77777777" w:rsidR="00696436" w:rsidRPr="00DA7CEE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A7CEE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376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495F32A2" w14:textId="77777777" w:rsidR="00696436" w:rsidRPr="00DA7CEE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A7CEE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DA7CEE">
              <w:rPr>
                <w:rFonts w:cstheme="minorHAnsi"/>
                <w:sz w:val="20"/>
                <w:szCs w:val="20"/>
              </w:rPr>
              <w:t xml:space="preserve"> (-0.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DA7CEE">
              <w:rPr>
                <w:rFonts w:cstheme="minorHAnsi"/>
                <w:sz w:val="20"/>
                <w:szCs w:val="20"/>
              </w:rPr>
              <w:t xml:space="preserve"> to 0.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DA7CEE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64265148" w14:textId="77777777" w:rsidR="00696436" w:rsidRPr="00DA7CEE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A7CEE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996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2D092E98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DA7CEE">
              <w:rPr>
                <w:rFonts w:eastAsia="Times New Roman" w:cstheme="minorHAnsi"/>
                <w:sz w:val="20"/>
                <w:szCs w:val="20"/>
                <w:lang w:eastAsia="en-GB"/>
              </w:rPr>
              <w:t>0.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799</w:t>
            </w:r>
          </w:p>
        </w:tc>
      </w:tr>
      <w:tr w:rsidR="00696436" w:rsidRPr="003015BB" w14:paraId="22FC8920" w14:textId="77777777" w:rsidTr="00C9240D">
        <w:trPr>
          <w:trHeight w:val="290"/>
          <w:jc w:val="center"/>
        </w:trPr>
        <w:tc>
          <w:tcPr>
            <w:tcW w:w="289" w:type="dxa"/>
            <w:tcBorders>
              <w:right w:val="nil"/>
            </w:tcBorders>
            <w:vAlign w:val="bottom"/>
          </w:tcPr>
          <w:p w14:paraId="33658AE7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8AC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sz w:val="20"/>
                <w:szCs w:val="20"/>
                <w:lang w:eastAsia="en-GB"/>
              </w:rPr>
              <w:t>Least pain in 24 hours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4C1E16A2" w14:textId="77777777" w:rsidR="00696436" w:rsidRPr="00D64FE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44EF">
              <w:rPr>
                <w:rFonts w:cstheme="minorHAnsi"/>
                <w:sz w:val="20"/>
                <w:szCs w:val="20"/>
              </w:rPr>
              <w:t>-0.1 (-0.4 to 0.2)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39573120" w14:textId="77777777" w:rsidR="00696436" w:rsidRPr="00D64FE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44EF">
              <w:rPr>
                <w:rFonts w:eastAsia="Times New Roman" w:cstheme="minorHAnsi"/>
                <w:sz w:val="20"/>
                <w:szCs w:val="20"/>
                <w:lang w:eastAsia="en-GB"/>
              </w:rPr>
              <w:t>0.440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61045E28" w14:textId="77777777" w:rsidR="00696436" w:rsidRPr="00D64FE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44EF">
              <w:rPr>
                <w:rFonts w:cstheme="minorHAnsi"/>
                <w:sz w:val="20"/>
                <w:szCs w:val="20"/>
              </w:rPr>
              <w:t>-0.01 (-0.3 to 0.3</w:t>
            </w:r>
            <w:r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7F9D13F2" w14:textId="77777777" w:rsidR="00696436" w:rsidRPr="00D64FE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244EF">
              <w:rPr>
                <w:rFonts w:eastAsia="Times New Roman" w:cstheme="minorHAnsi"/>
                <w:sz w:val="20"/>
                <w:szCs w:val="20"/>
                <w:lang w:eastAsia="en-GB"/>
              </w:rPr>
              <w:t>0.916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48132EF0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D64FE5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352</w:t>
            </w:r>
          </w:p>
        </w:tc>
      </w:tr>
      <w:tr w:rsidR="00696436" w:rsidRPr="003015BB" w14:paraId="7561BA2A" w14:textId="77777777" w:rsidTr="00C9240D">
        <w:trPr>
          <w:trHeight w:val="290"/>
          <w:jc w:val="center"/>
        </w:trPr>
        <w:tc>
          <w:tcPr>
            <w:tcW w:w="289" w:type="dxa"/>
            <w:tcBorders>
              <w:right w:val="nil"/>
            </w:tcBorders>
            <w:vAlign w:val="bottom"/>
          </w:tcPr>
          <w:p w14:paraId="4D256598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B7514F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sz w:val="20"/>
                <w:szCs w:val="20"/>
                <w:lang w:eastAsia="en-GB"/>
              </w:rPr>
              <w:t>Current pain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49B71C6A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E70E1">
              <w:rPr>
                <w:rFonts w:cstheme="minorHAnsi"/>
                <w:sz w:val="20"/>
                <w:szCs w:val="20"/>
              </w:rPr>
              <w:t>-0.2 (-0.6 to 0.2)</w:t>
            </w:r>
            <w:r w:rsidRPr="004953AB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10C9EABF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FE70E1">
              <w:rPr>
                <w:rFonts w:cstheme="minorHAnsi"/>
                <w:sz w:val="20"/>
                <w:szCs w:val="20"/>
              </w:rPr>
              <w:t>0.262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2D3F6BDE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8094F">
              <w:rPr>
                <w:rFonts w:cstheme="minorHAnsi"/>
                <w:sz w:val="20"/>
                <w:szCs w:val="20"/>
              </w:rPr>
              <w:t>0.1 (-0.2 to 0.5)</w:t>
            </w:r>
            <w:r w:rsidRPr="004953AB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7519EC40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8094F">
              <w:rPr>
                <w:rFonts w:cstheme="minorHAnsi"/>
                <w:sz w:val="20"/>
                <w:szCs w:val="20"/>
              </w:rPr>
              <w:t>0.455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7E8953D3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D64FE5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563</w:t>
            </w:r>
          </w:p>
        </w:tc>
      </w:tr>
      <w:tr w:rsidR="00696436" w:rsidRPr="003015BB" w14:paraId="7B245FC5" w14:textId="77777777" w:rsidTr="00C9240D">
        <w:trPr>
          <w:trHeight w:val="290"/>
          <w:jc w:val="center"/>
        </w:trPr>
        <w:tc>
          <w:tcPr>
            <w:tcW w:w="289" w:type="dxa"/>
            <w:tcBorders>
              <w:right w:val="nil"/>
            </w:tcBorders>
            <w:vAlign w:val="bottom"/>
          </w:tcPr>
          <w:p w14:paraId="412FC87B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2AEDD3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sz w:val="20"/>
                <w:szCs w:val="20"/>
                <w:lang w:eastAsia="en-GB"/>
              </w:rPr>
              <w:t>Pain severity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46F29B02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B6B13">
              <w:rPr>
                <w:rFonts w:cstheme="minorHAnsi"/>
                <w:sz w:val="20"/>
                <w:szCs w:val="20"/>
              </w:rPr>
              <w:t>-0.2 (-0.5 to 0.1)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64317005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2B6B13">
              <w:rPr>
                <w:rFonts w:cstheme="minorHAnsi"/>
                <w:sz w:val="20"/>
                <w:szCs w:val="20"/>
              </w:rPr>
              <w:t>0.212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57A356EB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25DB4">
              <w:rPr>
                <w:rFonts w:cstheme="minorHAnsi"/>
                <w:sz w:val="20"/>
                <w:szCs w:val="20"/>
              </w:rPr>
              <w:t>0.1 (-0.3 to 0.4)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304A4CD0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25DB4">
              <w:rPr>
                <w:rFonts w:cstheme="minorHAnsi"/>
                <w:sz w:val="20"/>
                <w:szCs w:val="20"/>
              </w:rPr>
              <w:t>0.651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2D71A06E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D97123">
              <w:rPr>
                <w:rFonts w:cstheme="minorHAnsi"/>
                <w:sz w:val="20"/>
                <w:szCs w:val="20"/>
              </w:rPr>
              <w:t>0.64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696436" w:rsidRPr="003015BB" w14:paraId="6FF2E9C9" w14:textId="77777777" w:rsidTr="00C9240D">
        <w:trPr>
          <w:trHeight w:val="290"/>
          <w:jc w:val="center"/>
        </w:trPr>
        <w:tc>
          <w:tcPr>
            <w:tcW w:w="289" w:type="dxa"/>
            <w:tcBorders>
              <w:right w:val="nil"/>
            </w:tcBorders>
            <w:vAlign w:val="bottom"/>
          </w:tcPr>
          <w:p w14:paraId="3D7AF12B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C7FA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sz w:val="20"/>
                <w:szCs w:val="20"/>
                <w:lang w:eastAsia="en-GB"/>
              </w:rPr>
              <w:t>Pain interference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243E94FE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A14F7">
              <w:rPr>
                <w:rFonts w:cstheme="minorHAnsi"/>
                <w:sz w:val="20"/>
                <w:szCs w:val="20"/>
              </w:rPr>
              <w:t>-0.6 (-1.0 to -0.1)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0FE69F94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5A14F7">
              <w:rPr>
                <w:rFonts w:cstheme="minorHAnsi"/>
                <w:sz w:val="20"/>
                <w:szCs w:val="20"/>
              </w:rPr>
              <w:t>0.012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1D84B94C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847F0">
              <w:rPr>
                <w:rFonts w:cstheme="minorHAnsi"/>
                <w:sz w:val="20"/>
                <w:szCs w:val="20"/>
              </w:rPr>
              <w:t>0.2 (-0.2 to 0.6)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07C56BDC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847F0">
              <w:rPr>
                <w:rFonts w:cstheme="minorHAnsi"/>
                <w:sz w:val="20"/>
                <w:szCs w:val="20"/>
              </w:rPr>
              <w:t>0.3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B847F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3BC782D5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11357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786</w:t>
            </w:r>
          </w:p>
        </w:tc>
      </w:tr>
      <w:tr w:rsidR="00696436" w:rsidRPr="003015BB" w14:paraId="44B6D566" w14:textId="77777777" w:rsidTr="00C9240D">
        <w:trPr>
          <w:trHeight w:val="290"/>
          <w:jc w:val="center"/>
        </w:trPr>
        <w:tc>
          <w:tcPr>
            <w:tcW w:w="2547" w:type="dxa"/>
            <w:gridSpan w:val="2"/>
            <w:tcBorders>
              <w:right w:val="nil"/>
            </w:tcBorders>
            <w:vAlign w:val="bottom"/>
          </w:tcPr>
          <w:p w14:paraId="54FFBE00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12 months after operation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7228FB1C" w14:textId="77777777" w:rsidR="00696436" w:rsidRPr="00C40CD5" w:rsidRDefault="00696436" w:rsidP="00C9240D">
            <w:pPr>
              <w:spacing w:after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52DC9">
              <w:rPr>
                <w:rFonts w:cstheme="minorHAnsi"/>
                <w:b/>
                <w:bCs/>
                <w:sz w:val="20"/>
                <w:szCs w:val="20"/>
              </w:rPr>
              <w:t>(n = 387)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29365DB4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25B59809" w14:textId="77777777" w:rsidR="00696436" w:rsidRPr="00C40CD5" w:rsidRDefault="00696436" w:rsidP="00C9240D">
            <w:pPr>
              <w:spacing w:after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52DC9">
              <w:rPr>
                <w:rFonts w:cstheme="minorHAnsi"/>
                <w:b/>
                <w:bCs/>
                <w:sz w:val="20"/>
                <w:szCs w:val="20"/>
              </w:rPr>
              <w:t>(n = 387)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42965C59" w14:textId="77777777" w:rsidR="00696436" w:rsidRPr="00C40CD5" w:rsidRDefault="00696436" w:rsidP="00C9240D">
            <w:pPr>
              <w:spacing w:after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1D619C53" w14:textId="77777777" w:rsidR="00696436" w:rsidRPr="00C40CD5" w:rsidRDefault="00696436" w:rsidP="00C9240D">
            <w:pPr>
              <w:spacing w:after="0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</w:p>
        </w:tc>
      </w:tr>
      <w:tr w:rsidR="00696436" w:rsidRPr="003015BB" w14:paraId="6CBE3D79" w14:textId="77777777" w:rsidTr="00C9240D">
        <w:trPr>
          <w:trHeight w:val="290"/>
          <w:jc w:val="center"/>
        </w:trPr>
        <w:tc>
          <w:tcPr>
            <w:tcW w:w="289" w:type="dxa"/>
            <w:tcBorders>
              <w:right w:val="nil"/>
            </w:tcBorders>
            <w:vAlign w:val="bottom"/>
          </w:tcPr>
          <w:p w14:paraId="35257B34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F448DD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sz w:val="20"/>
                <w:szCs w:val="20"/>
                <w:lang w:eastAsia="en-GB"/>
              </w:rPr>
              <w:t>Average pain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2B9C315C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505B6">
              <w:rPr>
                <w:rFonts w:cstheme="minorHAnsi"/>
                <w:sz w:val="20"/>
                <w:szCs w:val="20"/>
              </w:rPr>
              <w:t>-0.3 (-0.7 to 0.1)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221E5FA1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505B6">
              <w:rPr>
                <w:rFonts w:cstheme="minorHAnsi"/>
                <w:sz w:val="20"/>
                <w:szCs w:val="20"/>
              </w:rPr>
              <w:t>0.140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024768BA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505B6">
              <w:rPr>
                <w:rFonts w:cstheme="minorHAnsi"/>
                <w:sz w:val="20"/>
                <w:szCs w:val="20"/>
              </w:rPr>
              <w:t>0.3 (-0.1 to 0.7)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088954C1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505B6">
              <w:rPr>
                <w:rFonts w:cstheme="minorHAnsi"/>
                <w:sz w:val="20"/>
                <w:szCs w:val="20"/>
              </w:rPr>
              <w:t>0.191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178537E6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835D93">
              <w:rPr>
                <w:rFonts w:eastAsia="Times New Roman" w:cstheme="minorHAnsi"/>
                <w:sz w:val="20"/>
                <w:szCs w:val="20"/>
                <w:lang w:eastAsia="en-GB"/>
              </w:rPr>
              <w:t>0.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  <w:r w:rsidRPr="00835D93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696436" w:rsidRPr="003015BB" w14:paraId="0E661B95" w14:textId="77777777" w:rsidTr="00C9240D">
        <w:trPr>
          <w:trHeight w:val="290"/>
          <w:jc w:val="center"/>
        </w:trPr>
        <w:tc>
          <w:tcPr>
            <w:tcW w:w="289" w:type="dxa"/>
            <w:tcBorders>
              <w:right w:val="nil"/>
            </w:tcBorders>
            <w:vAlign w:val="bottom"/>
          </w:tcPr>
          <w:p w14:paraId="59492E20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7B57B7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sz w:val="20"/>
                <w:szCs w:val="20"/>
                <w:lang w:eastAsia="en-GB"/>
              </w:rPr>
              <w:t>Worst pain in 24 hours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01E0FC5F" w14:textId="77777777" w:rsidR="00696436" w:rsidRPr="00835D93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6AC1">
              <w:rPr>
                <w:rFonts w:cstheme="minorHAnsi"/>
                <w:sz w:val="20"/>
                <w:szCs w:val="20"/>
              </w:rPr>
              <w:t>-0.4 (-1.0 to 0.1)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2F3E89C7" w14:textId="77777777" w:rsidR="00696436" w:rsidRPr="00835D93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6AC1">
              <w:rPr>
                <w:rFonts w:cstheme="minorHAnsi"/>
                <w:sz w:val="20"/>
                <w:szCs w:val="20"/>
              </w:rPr>
              <w:t>0.099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0D3852CB" w14:textId="77777777" w:rsidR="00696436" w:rsidRPr="00835D93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34739">
              <w:rPr>
                <w:rFonts w:cstheme="minorHAnsi"/>
                <w:sz w:val="20"/>
                <w:szCs w:val="20"/>
              </w:rPr>
              <w:t>0.4 (-0.1 to 0.9)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44CCE267" w14:textId="77777777" w:rsidR="00696436" w:rsidRPr="00835D93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34739">
              <w:rPr>
                <w:rFonts w:cstheme="minorHAnsi"/>
                <w:sz w:val="20"/>
                <w:szCs w:val="20"/>
              </w:rPr>
              <w:t>0.143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03166D27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835D93">
              <w:rPr>
                <w:rFonts w:eastAsia="Times New Roman" w:cstheme="minorHAnsi"/>
                <w:sz w:val="20"/>
                <w:szCs w:val="20"/>
                <w:lang w:eastAsia="en-GB"/>
              </w:rPr>
              <w:t>0.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273</w:t>
            </w:r>
          </w:p>
        </w:tc>
      </w:tr>
      <w:tr w:rsidR="00696436" w:rsidRPr="003015BB" w14:paraId="251DC822" w14:textId="77777777" w:rsidTr="00C9240D">
        <w:trPr>
          <w:trHeight w:val="290"/>
          <w:jc w:val="center"/>
        </w:trPr>
        <w:tc>
          <w:tcPr>
            <w:tcW w:w="289" w:type="dxa"/>
            <w:tcBorders>
              <w:right w:val="nil"/>
            </w:tcBorders>
            <w:vAlign w:val="bottom"/>
          </w:tcPr>
          <w:p w14:paraId="7E3CCF43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E82DA7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sz w:val="20"/>
                <w:szCs w:val="20"/>
                <w:lang w:eastAsia="en-GB"/>
              </w:rPr>
              <w:t>Least pain in 24 hours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4F2C6AA9" w14:textId="77777777" w:rsidR="00696436" w:rsidRPr="00355AD8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25C7">
              <w:rPr>
                <w:rFonts w:cstheme="minorHAnsi"/>
                <w:sz w:val="20"/>
                <w:szCs w:val="20"/>
              </w:rPr>
              <w:t>-0.3 (-0.6 to -0.03)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7604AD22" w14:textId="77777777" w:rsidR="00696436" w:rsidRPr="00355AD8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25C7">
              <w:rPr>
                <w:rFonts w:cstheme="minorHAnsi"/>
                <w:sz w:val="20"/>
                <w:szCs w:val="20"/>
              </w:rPr>
              <w:t>0.031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2C72E617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F0C0A">
              <w:rPr>
                <w:rFonts w:cstheme="minorHAnsi"/>
                <w:sz w:val="20"/>
                <w:szCs w:val="20"/>
              </w:rPr>
              <w:t>0.2 (-0.04 to 0.5)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4EF1DA32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F0C0A">
              <w:rPr>
                <w:rFonts w:cstheme="minorHAnsi"/>
                <w:sz w:val="20"/>
                <w:szCs w:val="20"/>
              </w:rPr>
              <w:t>0.102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2F4C81D6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355AD8">
              <w:rPr>
                <w:rFonts w:eastAsia="Times New Roman" w:cstheme="minorHAnsi"/>
                <w:sz w:val="20"/>
                <w:szCs w:val="20"/>
                <w:lang w:eastAsia="en-GB"/>
              </w:rPr>
              <w:t>0.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904</w:t>
            </w:r>
          </w:p>
        </w:tc>
      </w:tr>
      <w:tr w:rsidR="00696436" w:rsidRPr="003015BB" w14:paraId="15265CFF" w14:textId="77777777" w:rsidTr="00C9240D">
        <w:trPr>
          <w:trHeight w:val="290"/>
          <w:jc w:val="center"/>
        </w:trPr>
        <w:tc>
          <w:tcPr>
            <w:tcW w:w="289" w:type="dxa"/>
            <w:tcBorders>
              <w:right w:val="nil"/>
            </w:tcBorders>
            <w:vAlign w:val="bottom"/>
          </w:tcPr>
          <w:p w14:paraId="02938E95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D18F84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sz w:val="20"/>
                <w:szCs w:val="20"/>
                <w:lang w:eastAsia="en-GB"/>
              </w:rPr>
              <w:t>Current pain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0F7BAD4D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71131">
              <w:rPr>
                <w:rFonts w:cstheme="minorHAnsi"/>
                <w:sz w:val="20"/>
                <w:szCs w:val="20"/>
              </w:rPr>
              <w:t>-0.3 (-0.7 to 0.1)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16B40E36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71131">
              <w:rPr>
                <w:rFonts w:cstheme="minorHAnsi"/>
                <w:sz w:val="20"/>
                <w:szCs w:val="20"/>
              </w:rPr>
              <w:t>0.136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1491D9AE" w14:textId="77777777" w:rsidR="00696436" w:rsidRPr="00D85DBA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84556">
              <w:rPr>
                <w:rFonts w:cstheme="minorHAnsi"/>
                <w:sz w:val="20"/>
                <w:szCs w:val="20"/>
              </w:rPr>
              <w:t>0.4 (-0.02 to 0.8)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3A589432" w14:textId="77777777" w:rsidR="00696436" w:rsidRPr="00D85DBA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84556">
              <w:rPr>
                <w:rFonts w:cstheme="minorHAnsi"/>
                <w:sz w:val="20"/>
                <w:szCs w:val="20"/>
              </w:rPr>
              <w:t>0.061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733A0D8A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D85DBA">
              <w:rPr>
                <w:rFonts w:eastAsia="Times New Roman" w:cstheme="minorHAnsi"/>
                <w:sz w:val="20"/>
                <w:szCs w:val="20"/>
                <w:lang w:eastAsia="en-GB"/>
              </w:rPr>
              <w:t>0.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643</w:t>
            </w:r>
          </w:p>
        </w:tc>
      </w:tr>
      <w:tr w:rsidR="00696436" w:rsidRPr="003015BB" w14:paraId="108A883A" w14:textId="77777777" w:rsidTr="00C9240D">
        <w:trPr>
          <w:trHeight w:val="290"/>
          <w:jc w:val="center"/>
        </w:trPr>
        <w:tc>
          <w:tcPr>
            <w:tcW w:w="289" w:type="dxa"/>
            <w:tcBorders>
              <w:right w:val="nil"/>
            </w:tcBorders>
            <w:vAlign w:val="bottom"/>
          </w:tcPr>
          <w:p w14:paraId="7BCA71D5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7DF85C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sz w:val="20"/>
                <w:szCs w:val="20"/>
                <w:lang w:eastAsia="en-GB"/>
              </w:rPr>
              <w:t>Pain severity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1BAD9E31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9B0F1D">
              <w:rPr>
                <w:rFonts w:cstheme="minorHAnsi"/>
                <w:sz w:val="20"/>
                <w:szCs w:val="20"/>
              </w:rPr>
              <w:t>-0.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9B0F1D">
              <w:rPr>
                <w:rFonts w:cstheme="minorHAnsi"/>
                <w:sz w:val="20"/>
                <w:szCs w:val="20"/>
              </w:rPr>
              <w:t xml:space="preserve"> (-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9B0F1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9B0F1D">
              <w:rPr>
                <w:rFonts w:cstheme="minorHAnsi"/>
                <w:sz w:val="20"/>
                <w:szCs w:val="20"/>
              </w:rPr>
              <w:t xml:space="preserve"> to 0.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9B0F1D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6E9A7D30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9B0F1D">
              <w:rPr>
                <w:rFonts w:cstheme="minorHAnsi"/>
                <w:sz w:val="20"/>
                <w:szCs w:val="20"/>
              </w:rPr>
              <w:t>0.0</w:t>
            </w: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37C18DE7" w14:textId="77777777" w:rsidR="00696436" w:rsidRPr="00D85DBA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56F">
              <w:rPr>
                <w:rFonts w:cstheme="minorHAnsi"/>
                <w:sz w:val="20"/>
                <w:szCs w:val="20"/>
              </w:rPr>
              <w:t>0.3 (-0.02 to 0.7)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176DAD50" w14:textId="77777777" w:rsidR="00696436" w:rsidRPr="00D85DBA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356F">
              <w:rPr>
                <w:rFonts w:cstheme="minorHAnsi"/>
                <w:sz w:val="20"/>
                <w:szCs w:val="20"/>
              </w:rPr>
              <w:t>0.063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659E9A18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D85DBA">
              <w:rPr>
                <w:rFonts w:eastAsia="Times New Roman" w:cstheme="minorHAnsi"/>
                <w:sz w:val="20"/>
                <w:szCs w:val="20"/>
                <w:lang w:eastAsia="en-GB"/>
              </w:rPr>
              <w:t>0.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521</w:t>
            </w:r>
          </w:p>
        </w:tc>
      </w:tr>
      <w:tr w:rsidR="00696436" w:rsidRPr="003015BB" w14:paraId="30AB4254" w14:textId="77777777" w:rsidTr="00C9240D">
        <w:trPr>
          <w:trHeight w:val="290"/>
          <w:jc w:val="center"/>
        </w:trPr>
        <w:tc>
          <w:tcPr>
            <w:tcW w:w="289" w:type="dxa"/>
            <w:tcBorders>
              <w:right w:val="nil"/>
            </w:tcBorders>
            <w:vAlign w:val="bottom"/>
          </w:tcPr>
          <w:p w14:paraId="2D98D610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58F81B" w14:textId="77777777" w:rsidR="00696436" w:rsidRPr="00AC238E" w:rsidRDefault="00696436" w:rsidP="00C92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sz w:val="20"/>
                <w:szCs w:val="20"/>
                <w:lang w:eastAsia="en-GB"/>
              </w:rPr>
              <w:t>Pain interference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7F330AE8" w14:textId="77777777" w:rsidR="00696436" w:rsidRPr="00220F8A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C123D">
              <w:rPr>
                <w:rFonts w:cstheme="minorHAnsi"/>
                <w:sz w:val="20"/>
                <w:szCs w:val="20"/>
              </w:rPr>
              <w:t>-0.6 (-1.0 to -0.2)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64366415" w14:textId="77777777" w:rsidR="00696436" w:rsidRPr="00220F8A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C123D">
              <w:rPr>
                <w:rFonts w:cstheme="minorHAnsi"/>
                <w:sz w:val="20"/>
                <w:szCs w:val="20"/>
              </w:rPr>
              <w:t>0.003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14:paraId="15AA78EF" w14:textId="77777777" w:rsidR="00696436" w:rsidRPr="00220F8A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A63B4">
              <w:rPr>
                <w:rFonts w:cstheme="minorHAnsi"/>
                <w:sz w:val="20"/>
                <w:szCs w:val="20"/>
              </w:rPr>
              <w:t>0.2 (-0.2 to 0.6)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47EE339A" w14:textId="77777777" w:rsidR="00696436" w:rsidRPr="00220F8A" w:rsidRDefault="00696436" w:rsidP="00C924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A63B4">
              <w:rPr>
                <w:rFonts w:cstheme="minorHAnsi"/>
                <w:sz w:val="20"/>
                <w:szCs w:val="20"/>
              </w:rPr>
              <w:t>0.243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bottom"/>
          </w:tcPr>
          <w:p w14:paraId="183E7F6D" w14:textId="77777777" w:rsidR="00696436" w:rsidRPr="00C40CD5" w:rsidRDefault="00696436" w:rsidP="00C924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220F8A">
              <w:rPr>
                <w:rFonts w:eastAsia="Times New Roman" w:cstheme="minorHAnsi"/>
                <w:sz w:val="20"/>
                <w:szCs w:val="20"/>
                <w:lang w:eastAsia="en-GB"/>
              </w:rPr>
              <w:t>0.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574</w:t>
            </w:r>
          </w:p>
        </w:tc>
      </w:tr>
      <w:tr w:rsidR="00696436" w:rsidRPr="00FD3E43" w14:paraId="1CA20852" w14:textId="77777777" w:rsidTr="00C9240D">
        <w:trPr>
          <w:trHeight w:val="290"/>
          <w:jc w:val="center"/>
        </w:trPr>
        <w:tc>
          <w:tcPr>
            <w:tcW w:w="9493" w:type="dxa"/>
            <w:gridSpan w:val="7"/>
            <w:tcBorders>
              <w:right w:val="single" w:sz="4" w:space="0" w:color="auto"/>
            </w:tcBorders>
            <w:vAlign w:val="bottom"/>
          </w:tcPr>
          <w:p w14:paraId="351C602A" w14:textId="2350316D" w:rsidR="00696436" w:rsidRPr="00FD3E43" w:rsidRDefault="00696436" w:rsidP="00C9240D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Results are from </w:t>
            </w:r>
            <w:r w:rsidR="0099370A"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the </w:t>
            </w:r>
            <w:r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>analysis of covariance</w:t>
            </w:r>
            <w:r w:rsidR="00343CD5"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>,</w:t>
            </w:r>
            <w:r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with the main effects for anesthesia (spinal vs. general) and</w:t>
            </w:r>
            <w:r w:rsidR="00343CD5"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tourniquet (no tourniquet vs. tourniquet), an interaction effect of anesthesia × tourniquet, and preoperative pain score of the respective </w:t>
            </w:r>
            <w:r w:rsidR="0062064C"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>postoperative score</w:t>
            </w:r>
            <w:r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as </w:t>
            </w:r>
            <w:r w:rsidR="00A15578"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 </w:t>
            </w:r>
            <w:r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covariate. Patients assessed pain and pain interference </w:t>
            </w:r>
            <w:r w:rsidR="002B7672"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>using</w:t>
            </w:r>
            <w:r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 numerical rating scale (0 = no pain/interference, 10 = worst imaginable pain/interference). Pain severity is an arithmetic mean of four variables: </w:t>
            </w:r>
            <w:r w:rsidR="002B7672"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>avera</w:t>
            </w:r>
            <w:r w:rsidR="00A16388"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ge pain, </w:t>
            </w:r>
            <w:r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worst and least pain in </w:t>
            </w:r>
            <w:r w:rsidR="00F52056"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the last </w:t>
            </w:r>
            <w:r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>24 hours</w:t>
            </w:r>
            <w:r w:rsidR="00A16388"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>,</w:t>
            </w:r>
            <w:r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B32E64"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and </w:t>
            </w:r>
            <w:r w:rsidRPr="00FD3E43">
              <w:rPr>
                <w:rFonts w:eastAsia="Times New Roman" w:cstheme="minorHAnsi"/>
                <w:sz w:val="20"/>
                <w:szCs w:val="20"/>
                <w:lang w:eastAsia="en-GB"/>
              </w:rPr>
              <w:t>current pain. Pain interference is an arithmetic mean of seven variables: general activity, mood, walking, relations with others, working, sleep, and enjoyment of life during the last 24 hours. Superscript numbers present the number of missing values.</w:t>
            </w:r>
          </w:p>
        </w:tc>
      </w:tr>
    </w:tbl>
    <w:p w14:paraId="5925BAB1" w14:textId="77777777" w:rsidR="00E71976" w:rsidRPr="00FD3E43" w:rsidRDefault="00E71976" w:rsidP="00310664"/>
    <w:p w14:paraId="21957A08" w14:textId="77998F92" w:rsidR="00794B43" w:rsidRPr="00FD3E43" w:rsidRDefault="00542AA9" w:rsidP="00310664">
      <w:r w:rsidRPr="00FD3E43">
        <w:rPr>
          <w:u w:val="single"/>
        </w:rPr>
        <w:t>Aut</w:t>
      </w:r>
      <w:r w:rsidR="00310664" w:rsidRPr="00FD3E43">
        <w:rPr>
          <w:u w:val="single"/>
        </w:rPr>
        <w:t>hors’ comments concerning the</w:t>
      </w:r>
      <w:r w:rsidR="00794B43" w:rsidRPr="00FD3E43">
        <w:rPr>
          <w:u w:val="single"/>
        </w:rPr>
        <w:t xml:space="preserve"> </w:t>
      </w:r>
      <w:r w:rsidR="00A27487" w:rsidRPr="00FD3E43">
        <w:rPr>
          <w:u w:val="single"/>
        </w:rPr>
        <w:t xml:space="preserve">chosen </w:t>
      </w:r>
      <w:r w:rsidR="00794B43" w:rsidRPr="00FD3E43">
        <w:rPr>
          <w:u w:val="single"/>
        </w:rPr>
        <w:t xml:space="preserve">method </w:t>
      </w:r>
      <w:r w:rsidR="00A27487" w:rsidRPr="00FD3E43">
        <w:rPr>
          <w:u w:val="single"/>
        </w:rPr>
        <w:t>for main analyses</w:t>
      </w:r>
      <w:r w:rsidR="001C783A" w:rsidRPr="00FD3E43">
        <w:t>:</w:t>
      </w:r>
    </w:p>
    <w:p w14:paraId="148D9A9F" w14:textId="4E4523E6" w:rsidR="00E14A30" w:rsidRPr="00FD3E43" w:rsidRDefault="00C33126" w:rsidP="001B0729">
      <w:pPr>
        <w:spacing w:after="0" w:line="240" w:lineRule="auto"/>
      </w:pPr>
      <w:r w:rsidRPr="00FD3E43">
        <w:t xml:space="preserve">The main analyses </w:t>
      </w:r>
      <w:r w:rsidR="007D3638" w:rsidRPr="00FD3E43">
        <w:t xml:space="preserve">of this </w:t>
      </w:r>
      <w:r w:rsidR="00462F70" w:rsidRPr="00FD3E43">
        <w:t>study</w:t>
      </w:r>
      <w:r w:rsidR="007D3638" w:rsidRPr="00FD3E43">
        <w:t xml:space="preserve"> </w:t>
      </w:r>
      <w:r w:rsidRPr="00FD3E43">
        <w:t xml:space="preserve">concerning the </w:t>
      </w:r>
      <w:r w:rsidR="00E14A30" w:rsidRPr="00FD3E43">
        <w:t>Brief Pain Inventory</w:t>
      </w:r>
      <w:r w:rsidR="00462F70" w:rsidRPr="00FD3E43">
        <w:t>-</w:t>
      </w:r>
      <w:r w:rsidR="00E14A30" w:rsidRPr="00FD3E43">
        <w:t xml:space="preserve">short form </w:t>
      </w:r>
      <w:r w:rsidRPr="00FD3E43">
        <w:t xml:space="preserve">change scores were conducted </w:t>
      </w:r>
      <w:r w:rsidR="00C95E5A" w:rsidRPr="00FD3E43">
        <w:t>using the</w:t>
      </w:r>
      <w:r w:rsidRPr="00FD3E43">
        <w:t xml:space="preserve"> two-way </w:t>
      </w:r>
      <w:r w:rsidR="006D04D1" w:rsidRPr="00FD3E43">
        <w:t>analysis of variance</w:t>
      </w:r>
      <w:r w:rsidR="00C849BF" w:rsidRPr="00FD3E43">
        <w:t>, and the</w:t>
      </w:r>
      <w:r w:rsidR="00367FF9" w:rsidRPr="00FD3E43">
        <w:t xml:space="preserve"> normality assumptions of residuals were met for all outcomes. However, t</w:t>
      </w:r>
      <w:r w:rsidR="00C01623" w:rsidRPr="00FD3E43">
        <w:t xml:space="preserve">his approach did not </w:t>
      </w:r>
      <w:r w:rsidR="0054122C" w:rsidRPr="00FD3E43">
        <w:t>consider</w:t>
      </w:r>
      <w:r w:rsidR="00C01623" w:rsidRPr="00FD3E43">
        <w:t xml:space="preserve"> the baseline imbalances between the no-tourniquet and tourniquet groups in the scores concerning average pain, worst pain</w:t>
      </w:r>
      <w:r w:rsidR="00E14A30" w:rsidRPr="00FD3E43">
        <w:t xml:space="preserve"> in </w:t>
      </w:r>
      <w:r w:rsidR="001C72F5" w:rsidRPr="00FD3E43">
        <w:t xml:space="preserve">the last </w:t>
      </w:r>
      <w:r w:rsidR="00E14A30" w:rsidRPr="00FD3E43">
        <w:t>24 hours</w:t>
      </w:r>
      <w:r w:rsidR="00C01623" w:rsidRPr="00FD3E43">
        <w:t xml:space="preserve">, and the arithmetic mean of the four pain severity variables. </w:t>
      </w:r>
    </w:p>
    <w:p w14:paraId="79EB4C4F" w14:textId="77777777" w:rsidR="00E14A30" w:rsidRPr="00FD3E43" w:rsidRDefault="00E14A30" w:rsidP="001B0729">
      <w:pPr>
        <w:spacing w:after="0" w:line="240" w:lineRule="auto"/>
      </w:pPr>
    </w:p>
    <w:p w14:paraId="0FBE29F1" w14:textId="57A2512F" w:rsidR="00717392" w:rsidRPr="00FD3E43" w:rsidRDefault="00C84216" w:rsidP="003771D5">
      <w:pPr>
        <w:spacing w:after="0" w:line="240" w:lineRule="auto"/>
      </w:pPr>
      <w:r w:rsidRPr="00FD3E43">
        <w:t xml:space="preserve">We </w:t>
      </w:r>
      <w:r w:rsidR="00F41567" w:rsidRPr="00FD3E43">
        <w:t>recognize</w:t>
      </w:r>
      <w:r w:rsidR="000639E5" w:rsidRPr="00FD3E43">
        <w:t>d</w:t>
      </w:r>
      <w:r w:rsidR="00F41567" w:rsidRPr="00FD3E43">
        <w:t xml:space="preserve"> that t</w:t>
      </w:r>
      <w:r w:rsidR="00310664" w:rsidRPr="00FD3E43">
        <w:t>he analysis of covariance</w:t>
      </w:r>
      <w:r w:rsidR="005B36BE" w:rsidRPr="00FD3E43">
        <w:t xml:space="preserve"> </w:t>
      </w:r>
      <w:r w:rsidR="003A1E97" w:rsidRPr="00FD3E43">
        <w:t>would have</w:t>
      </w:r>
      <w:r w:rsidR="0078255E" w:rsidRPr="00FD3E43">
        <w:t xml:space="preserve"> </w:t>
      </w:r>
      <w:r w:rsidR="003A1E97" w:rsidRPr="00FD3E43">
        <w:t>been</w:t>
      </w:r>
      <w:r w:rsidR="00310664" w:rsidRPr="00FD3E43">
        <w:t xml:space="preserve"> a preferable model for analyzing differences between the study groups 3 and 12 months after operation</w:t>
      </w:r>
      <w:r w:rsidR="003A1E97" w:rsidRPr="00FD3E43">
        <w:t>.</w:t>
      </w:r>
      <w:r w:rsidR="00E84F8F" w:rsidRPr="00FD3E43">
        <w:rPr>
          <w:vertAlign w:val="superscript"/>
        </w:rPr>
        <w:t>1</w:t>
      </w:r>
      <w:r w:rsidR="00310664" w:rsidRPr="00FD3E43">
        <w:t xml:space="preserve"> </w:t>
      </w:r>
      <w:r w:rsidR="006B2F72" w:rsidRPr="00FD3E43">
        <w:t xml:space="preserve">However, the assumptions for </w:t>
      </w:r>
      <w:r w:rsidR="00C849BF" w:rsidRPr="00FD3E43">
        <w:t>this method</w:t>
      </w:r>
      <w:r w:rsidR="006B2F72" w:rsidRPr="00FD3E43">
        <w:t xml:space="preserve"> (the normality and homogeneity of regression slopes) </w:t>
      </w:r>
      <w:r w:rsidR="00E14A30" w:rsidRPr="00FD3E43">
        <w:t>were</w:t>
      </w:r>
      <w:r w:rsidR="006B2F72" w:rsidRPr="00FD3E43">
        <w:t xml:space="preserve"> not met for all outcomes. </w:t>
      </w:r>
    </w:p>
    <w:p w14:paraId="118E45CA" w14:textId="77777777" w:rsidR="00717392" w:rsidRPr="00FD3E43" w:rsidRDefault="00717392" w:rsidP="003771D5">
      <w:pPr>
        <w:spacing w:after="0" w:line="240" w:lineRule="auto"/>
      </w:pPr>
    </w:p>
    <w:p w14:paraId="1A3AFAA7" w14:textId="6F544597" w:rsidR="00E14A30" w:rsidRPr="00FD3E43" w:rsidRDefault="00E21471" w:rsidP="003771D5">
      <w:pPr>
        <w:spacing w:after="0" w:line="240" w:lineRule="auto"/>
      </w:pPr>
      <w:r w:rsidRPr="00FD3E43">
        <w:t>Depending on the pain variable, 13%–51% of the scores at 3 months and 29%–59% of the scores at 12 months were zero</w:t>
      </w:r>
      <w:r w:rsidR="00E14A30" w:rsidRPr="00FD3E43">
        <w:t>,</w:t>
      </w:r>
      <w:r w:rsidRPr="00FD3E43">
        <w:t xml:space="preserve"> and t</w:t>
      </w:r>
      <w:r w:rsidR="006B2F72" w:rsidRPr="00FD3E43">
        <w:t>he residuals</w:t>
      </w:r>
      <w:r w:rsidR="006015FE" w:rsidRPr="00FD3E43">
        <w:t xml:space="preserve"> </w:t>
      </w:r>
      <w:r w:rsidR="00BB689D" w:rsidRPr="00FD3E43">
        <w:t xml:space="preserve">of </w:t>
      </w:r>
      <w:r w:rsidR="00432082" w:rsidRPr="00FD3E43">
        <w:t xml:space="preserve">the </w:t>
      </w:r>
      <w:r w:rsidR="00717392" w:rsidRPr="00FD3E43">
        <w:t>analysis of covariance</w:t>
      </w:r>
      <w:r w:rsidR="00BB689D" w:rsidRPr="00FD3E43">
        <w:t xml:space="preserve"> </w:t>
      </w:r>
      <w:r w:rsidRPr="00FD3E43">
        <w:t xml:space="preserve">model </w:t>
      </w:r>
      <w:r w:rsidR="006015FE" w:rsidRPr="00FD3E43">
        <w:t>were not normally distributed</w:t>
      </w:r>
      <w:r w:rsidR="00BB689D" w:rsidRPr="00FD3E43">
        <w:t xml:space="preserve"> </w:t>
      </w:r>
      <w:r w:rsidR="003D1CAE" w:rsidRPr="00FD3E43">
        <w:t>(</w:t>
      </w:r>
      <w:r w:rsidR="00644B2F" w:rsidRPr="00FD3E43">
        <w:t xml:space="preserve">evaluated by </w:t>
      </w:r>
      <w:r w:rsidR="003D1CAE" w:rsidRPr="00FD3E43">
        <w:t xml:space="preserve">visual inspection </w:t>
      </w:r>
      <w:r w:rsidR="00644B2F" w:rsidRPr="00FD3E43">
        <w:t xml:space="preserve">of </w:t>
      </w:r>
      <w:r w:rsidR="003D1CAE" w:rsidRPr="00FD3E43">
        <w:t>histograms and skewness</w:t>
      </w:r>
      <w:r w:rsidR="00C0160B" w:rsidRPr="00FD3E43">
        <w:t xml:space="preserve"> </w:t>
      </w:r>
      <w:r w:rsidR="003D1CAE" w:rsidRPr="00FD3E43">
        <w:t>&gt;</w:t>
      </w:r>
      <w:r w:rsidR="00C0160B" w:rsidRPr="00FD3E43">
        <w:t xml:space="preserve"> </w:t>
      </w:r>
      <w:r w:rsidR="003D1CAE" w:rsidRPr="00FD3E43">
        <w:t xml:space="preserve">1) </w:t>
      </w:r>
      <w:r w:rsidR="00BB689D" w:rsidRPr="00FD3E43">
        <w:t xml:space="preserve">for </w:t>
      </w:r>
      <w:r w:rsidR="00E14A30" w:rsidRPr="00FD3E43">
        <w:t xml:space="preserve">variables concerning </w:t>
      </w:r>
      <w:r w:rsidR="00BB689D" w:rsidRPr="00FD3E43">
        <w:t xml:space="preserve">least pain in </w:t>
      </w:r>
      <w:r w:rsidR="000C7D29" w:rsidRPr="00FD3E43">
        <w:t xml:space="preserve">the last </w:t>
      </w:r>
      <w:r w:rsidR="00BB689D" w:rsidRPr="00FD3E43">
        <w:t>24 hours</w:t>
      </w:r>
      <w:r w:rsidRPr="00FD3E43">
        <w:t xml:space="preserve"> and</w:t>
      </w:r>
      <w:r w:rsidR="00BB689D" w:rsidRPr="00FD3E43">
        <w:t xml:space="preserve"> current pain</w:t>
      </w:r>
      <w:r w:rsidRPr="00FD3E43">
        <w:t xml:space="preserve"> at 3 and 12 months and </w:t>
      </w:r>
      <w:r w:rsidR="00264CC2" w:rsidRPr="00FD3E43">
        <w:t xml:space="preserve">for </w:t>
      </w:r>
      <w:r w:rsidR="00BB689D" w:rsidRPr="00FD3E43">
        <w:t>pain interference</w:t>
      </w:r>
      <w:r w:rsidRPr="00FD3E43">
        <w:t xml:space="preserve"> at 12 months.</w:t>
      </w:r>
    </w:p>
    <w:p w14:paraId="3DB89148" w14:textId="77777777" w:rsidR="00E14A30" w:rsidRPr="00FD3E43" w:rsidRDefault="00E14A30" w:rsidP="003771D5">
      <w:pPr>
        <w:spacing w:after="0" w:line="240" w:lineRule="auto"/>
      </w:pPr>
    </w:p>
    <w:p w14:paraId="24577B44" w14:textId="1EFC4A14" w:rsidR="00C24B7D" w:rsidRPr="00FD3E43" w:rsidRDefault="00F3615B" w:rsidP="003771D5">
      <w:pPr>
        <w:spacing w:after="0" w:line="240" w:lineRule="auto"/>
      </w:pPr>
      <w:r w:rsidRPr="00FD3E43">
        <w:t xml:space="preserve">The </w:t>
      </w:r>
      <w:r w:rsidR="00E14A30" w:rsidRPr="00FD3E43">
        <w:t xml:space="preserve">assumptions concerning the </w:t>
      </w:r>
      <w:r w:rsidRPr="00FD3E43">
        <w:t>h</w:t>
      </w:r>
      <w:r w:rsidR="00E21471" w:rsidRPr="00FD3E43">
        <w:t xml:space="preserve">omogeneity of regression slopes were checked </w:t>
      </w:r>
      <w:r w:rsidR="00B4046B" w:rsidRPr="00FD3E43">
        <w:t xml:space="preserve">with scatter plots between </w:t>
      </w:r>
      <w:r w:rsidR="00E14A30" w:rsidRPr="00FD3E43">
        <w:t xml:space="preserve">the </w:t>
      </w:r>
      <w:r w:rsidR="00B4046B" w:rsidRPr="00FD3E43">
        <w:t>pre</w:t>
      </w:r>
      <w:r w:rsidR="00E14A30" w:rsidRPr="00FD3E43">
        <w:t>-</w:t>
      </w:r>
      <w:r w:rsidR="00B4046B" w:rsidRPr="00FD3E43">
        <w:t xml:space="preserve"> and post</w:t>
      </w:r>
      <w:r w:rsidR="0098622D" w:rsidRPr="00FD3E43">
        <w:t>o</w:t>
      </w:r>
      <w:r w:rsidR="00B4046B" w:rsidRPr="00FD3E43">
        <w:t>perative pain score</w:t>
      </w:r>
      <w:r w:rsidR="00E14A30" w:rsidRPr="00FD3E43">
        <w:t>s.</w:t>
      </w:r>
      <w:r w:rsidR="00B4046B" w:rsidRPr="00FD3E43">
        <w:t xml:space="preserve"> </w:t>
      </w:r>
      <w:r w:rsidR="00E14A30" w:rsidRPr="00FD3E43">
        <w:t>The</w:t>
      </w:r>
      <w:r w:rsidR="00B4046B" w:rsidRPr="00FD3E43">
        <w:t xml:space="preserve"> regression slopes </w:t>
      </w:r>
      <w:r w:rsidR="00264CC2" w:rsidRPr="00FD3E43">
        <w:t>for</w:t>
      </w:r>
      <w:r w:rsidR="00B4046B" w:rsidRPr="00FD3E43">
        <w:t xml:space="preserve"> different groups crossed for </w:t>
      </w:r>
      <w:r w:rsidR="00E14A30" w:rsidRPr="00FD3E43">
        <w:t xml:space="preserve">variables concerning </w:t>
      </w:r>
      <w:r w:rsidR="00B4046B" w:rsidRPr="00FD3E43">
        <w:t xml:space="preserve">average pain, </w:t>
      </w:r>
      <w:r w:rsidR="00BF2B0D" w:rsidRPr="00FD3E43">
        <w:t xml:space="preserve">worst </w:t>
      </w:r>
      <w:r w:rsidR="00E14A30" w:rsidRPr="00FD3E43">
        <w:t xml:space="preserve">and least </w:t>
      </w:r>
      <w:r w:rsidR="00BF2B0D" w:rsidRPr="00FD3E43">
        <w:t xml:space="preserve">pain in </w:t>
      </w:r>
      <w:r w:rsidR="008467E9" w:rsidRPr="00FD3E43">
        <w:t xml:space="preserve">the last </w:t>
      </w:r>
      <w:r w:rsidR="00BF2B0D" w:rsidRPr="00FD3E43">
        <w:t xml:space="preserve">24 hours, </w:t>
      </w:r>
      <w:r w:rsidR="00B4046B" w:rsidRPr="00FD3E43">
        <w:t>current pain</w:t>
      </w:r>
      <w:r w:rsidR="00E14A30" w:rsidRPr="00FD3E43">
        <w:t>,</w:t>
      </w:r>
      <w:r w:rsidR="00C33FA3" w:rsidRPr="00FD3E43">
        <w:t xml:space="preserve"> and</w:t>
      </w:r>
      <w:r w:rsidR="00B4046B" w:rsidRPr="00FD3E43">
        <w:t xml:space="preserve"> </w:t>
      </w:r>
      <w:r w:rsidR="00E14A30" w:rsidRPr="00FD3E43">
        <w:t xml:space="preserve">the mean of four </w:t>
      </w:r>
      <w:r w:rsidR="00B4046B" w:rsidRPr="00FD3E43">
        <w:t xml:space="preserve">pain severity </w:t>
      </w:r>
      <w:r w:rsidR="00E14A30" w:rsidRPr="00FD3E43">
        <w:t xml:space="preserve">variables </w:t>
      </w:r>
      <w:r w:rsidR="00B4046B" w:rsidRPr="00FD3E43">
        <w:t xml:space="preserve">at 3 </w:t>
      </w:r>
      <w:r w:rsidR="00C33FA3" w:rsidRPr="00FD3E43">
        <w:t>months</w:t>
      </w:r>
      <w:r w:rsidR="00C24B7D" w:rsidRPr="00FD3E43">
        <w:t>.</w:t>
      </w:r>
      <w:r w:rsidR="00C33FA3" w:rsidRPr="00FD3E43">
        <w:t xml:space="preserve"> </w:t>
      </w:r>
      <w:r w:rsidR="00C24B7D" w:rsidRPr="00FD3E43">
        <w:t xml:space="preserve">Similarly, the regression slopes crossed for </w:t>
      </w:r>
      <w:r w:rsidR="00C33FA3" w:rsidRPr="00FD3E43">
        <w:t xml:space="preserve">average pain, worst pain in </w:t>
      </w:r>
      <w:r w:rsidR="000617C5" w:rsidRPr="00FD3E43">
        <w:t xml:space="preserve">the last </w:t>
      </w:r>
      <w:r w:rsidR="00C33FA3" w:rsidRPr="00FD3E43">
        <w:t>24 hours, current pain</w:t>
      </w:r>
      <w:r w:rsidR="002A399E" w:rsidRPr="00FD3E43">
        <w:t>,</w:t>
      </w:r>
      <w:r w:rsidR="00C24B7D" w:rsidRPr="00FD3E43">
        <w:t xml:space="preserve"> and</w:t>
      </w:r>
      <w:r w:rsidR="00C33FA3" w:rsidRPr="00FD3E43">
        <w:t xml:space="preserve"> </w:t>
      </w:r>
      <w:r w:rsidR="00C24B7D" w:rsidRPr="00FD3E43">
        <w:t xml:space="preserve">the means of four </w:t>
      </w:r>
      <w:r w:rsidR="00C33FA3" w:rsidRPr="00FD3E43">
        <w:t xml:space="preserve">pain severity and </w:t>
      </w:r>
      <w:r w:rsidR="00C24B7D" w:rsidRPr="00FD3E43">
        <w:t xml:space="preserve">seven </w:t>
      </w:r>
      <w:r w:rsidR="00C33FA3" w:rsidRPr="00FD3E43">
        <w:t xml:space="preserve">pain interference </w:t>
      </w:r>
      <w:r w:rsidR="00C24B7D" w:rsidRPr="00FD3E43">
        <w:t xml:space="preserve">variables </w:t>
      </w:r>
      <w:r w:rsidR="00BF2B0D" w:rsidRPr="00FD3E43">
        <w:t xml:space="preserve">at </w:t>
      </w:r>
      <w:r w:rsidR="00B4046B" w:rsidRPr="00FD3E43">
        <w:t>12 months.</w:t>
      </w:r>
      <w:r w:rsidR="002A399E" w:rsidRPr="00FD3E43">
        <w:t xml:space="preserve"> </w:t>
      </w:r>
      <w:r w:rsidR="00C24B7D" w:rsidRPr="00FD3E43">
        <w:t>The assumption</w:t>
      </w:r>
      <w:r w:rsidR="002A399E" w:rsidRPr="00FD3E43">
        <w:t>s</w:t>
      </w:r>
      <w:r w:rsidR="00C24B7D" w:rsidRPr="00FD3E43">
        <w:t xml:space="preserve"> concerning the h</w:t>
      </w:r>
      <w:r w:rsidRPr="00FD3E43">
        <w:t>omogeneity of regression slopes w</w:t>
      </w:r>
      <w:r w:rsidR="002A399E" w:rsidRPr="00FD3E43">
        <w:t>ere</w:t>
      </w:r>
      <w:r w:rsidRPr="00FD3E43">
        <w:t xml:space="preserve"> also tested with t</w:t>
      </w:r>
      <w:r w:rsidR="00B4046B" w:rsidRPr="00FD3E43">
        <w:t xml:space="preserve">he interaction </w:t>
      </w:r>
      <w:r w:rsidRPr="00FD3E43">
        <w:t xml:space="preserve">effect </w:t>
      </w:r>
      <w:r w:rsidR="00B4046B" w:rsidRPr="00FD3E43">
        <w:t>between preoperative pain score and group</w:t>
      </w:r>
      <w:r w:rsidR="00C24B7D" w:rsidRPr="00FD3E43">
        <w:t>.</w:t>
      </w:r>
      <w:r w:rsidR="00447BAC" w:rsidRPr="00FD3E43">
        <w:t xml:space="preserve"> </w:t>
      </w:r>
      <w:r w:rsidR="00C24B7D" w:rsidRPr="00FD3E43">
        <w:t>T</w:t>
      </w:r>
      <w:r w:rsidRPr="00FD3E43">
        <w:t xml:space="preserve">he interaction </w:t>
      </w:r>
      <w:r w:rsidR="00B4046B" w:rsidRPr="00FD3E43">
        <w:t>w</w:t>
      </w:r>
      <w:r w:rsidR="00264CC2" w:rsidRPr="00FD3E43">
        <w:t>as</w:t>
      </w:r>
      <w:r w:rsidR="00B4046B" w:rsidRPr="00FD3E43">
        <w:t xml:space="preserve"> significant </w:t>
      </w:r>
      <w:r w:rsidR="006B07B5" w:rsidRPr="00FD3E43">
        <w:t xml:space="preserve">for least pain in </w:t>
      </w:r>
      <w:r w:rsidR="00393D08" w:rsidRPr="00FD3E43">
        <w:t xml:space="preserve">the last </w:t>
      </w:r>
      <w:r w:rsidR="006B07B5" w:rsidRPr="00FD3E43">
        <w:t>24 hours at 3 months (</w:t>
      </w:r>
      <w:r w:rsidR="00C24B7D" w:rsidRPr="00FD3E43">
        <w:t>a</w:t>
      </w:r>
      <w:r w:rsidR="006B07B5" w:rsidRPr="00FD3E43">
        <w:t xml:space="preserve">nesthesia group </w:t>
      </w:r>
      <w:r w:rsidR="006B07B5" w:rsidRPr="00FD3E43">
        <w:rPr>
          <w:rFonts w:cstheme="minorHAnsi"/>
        </w:rPr>
        <w:t xml:space="preserve">× </w:t>
      </w:r>
      <w:r w:rsidR="006B07B5" w:rsidRPr="00FD3E43">
        <w:t xml:space="preserve">preoperative pain score, </w:t>
      </w:r>
      <w:r w:rsidR="002A399E" w:rsidRPr="00FD3E43">
        <w:rPr>
          <w:i/>
          <w:iCs/>
        </w:rPr>
        <w:t>P</w:t>
      </w:r>
      <w:r w:rsidR="002A399E" w:rsidRPr="00FD3E43">
        <w:t xml:space="preserve"> </w:t>
      </w:r>
      <w:r w:rsidR="006B07B5" w:rsidRPr="00FD3E43">
        <w:t>=</w:t>
      </w:r>
      <w:r w:rsidR="002A399E" w:rsidRPr="00FD3E43">
        <w:t xml:space="preserve"> </w:t>
      </w:r>
      <w:r w:rsidR="006B07B5" w:rsidRPr="00FD3E43">
        <w:t>0.017)</w:t>
      </w:r>
      <w:r w:rsidR="008F280D" w:rsidRPr="00FD3E43">
        <w:t>, for average pain at 12 months (</w:t>
      </w:r>
      <w:r w:rsidR="00C24B7D" w:rsidRPr="00FD3E43">
        <w:t>t</w:t>
      </w:r>
      <w:r w:rsidR="008F280D" w:rsidRPr="00FD3E43">
        <w:t xml:space="preserve">ourniquet group </w:t>
      </w:r>
      <w:r w:rsidR="008F280D" w:rsidRPr="00FD3E43">
        <w:rPr>
          <w:rFonts w:cstheme="minorHAnsi"/>
        </w:rPr>
        <w:t xml:space="preserve">× </w:t>
      </w:r>
      <w:r w:rsidR="008F280D" w:rsidRPr="00FD3E43">
        <w:t xml:space="preserve">preoperative pain score, </w:t>
      </w:r>
      <w:r w:rsidR="002D59A6" w:rsidRPr="00FD3E43">
        <w:rPr>
          <w:i/>
        </w:rPr>
        <w:t>P</w:t>
      </w:r>
      <w:r w:rsidR="002D59A6" w:rsidRPr="00FD3E43">
        <w:t xml:space="preserve"> </w:t>
      </w:r>
      <w:r w:rsidR="008F280D" w:rsidRPr="00FD3E43">
        <w:t>=</w:t>
      </w:r>
      <w:r w:rsidR="002D59A6" w:rsidRPr="00FD3E43">
        <w:t xml:space="preserve"> </w:t>
      </w:r>
      <w:r w:rsidR="008F280D" w:rsidRPr="00FD3E43">
        <w:t>0.037)</w:t>
      </w:r>
      <w:r w:rsidR="00C24B7D" w:rsidRPr="00FD3E43">
        <w:t>,</w:t>
      </w:r>
      <w:r w:rsidR="008F280D" w:rsidRPr="00FD3E43">
        <w:t xml:space="preserve"> and </w:t>
      </w:r>
      <w:r w:rsidR="00B4046B" w:rsidRPr="00FD3E43">
        <w:t xml:space="preserve">for worst pain at 12 months </w:t>
      </w:r>
      <w:r w:rsidR="00447BAC" w:rsidRPr="00FD3E43">
        <w:t>(</w:t>
      </w:r>
      <w:r w:rsidR="00C24B7D" w:rsidRPr="00FD3E43">
        <w:t>a</w:t>
      </w:r>
      <w:r w:rsidR="00447BAC" w:rsidRPr="00FD3E43">
        <w:t>nesthesia group</w:t>
      </w:r>
      <w:r w:rsidR="00264CC2" w:rsidRPr="00FD3E43">
        <w:t xml:space="preserve"> </w:t>
      </w:r>
      <w:r w:rsidR="00447BAC" w:rsidRPr="00FD3E43">
        <w:rPr>
          <w:rFonts w:cstheme="minorHAnsi"/>
        </w:rPr>
        <w:t>×</w:t>
      </w:r>
      <w:r w:rsidR="00264CC2" w:rsidRPr="00FD3E43">
        <w:rPr>
          <w:rFonts w:cstheme="minorHAnsi"/>
        </w:rPr>
        <w:t xml:space="preserve"> </w:t>
      </w:r>
      <w:r w:rsidR="00447BAC" w:rsidRPr="00FD3E43">
        <w:t xml:space="preserve">preoperative pain score, </w:t>
      </w:r>
      <w:r w:rsidR="002D59A6" w:rsidRPr="00FD3E43">
        <w:rPr>
          <w:i/>
        </w:rPr>
        <w:t>P</w:t>
      </w:r>
      <w:r w:rsidR="002D59A6" w:rsidRPr="00FD3E43">
        <w:t xml:space="preserve"> </w:t>
      </w:r>
      <w:r w:rsidR="00447BAC" w:rsidRPr="00FD3E43">
        <w:t>=</w:t>
      </w:r>
      <w:r w:rsidR="002D59A6" w:rsidRPr="00FD3E43">
        <w:t xml:space="preserve"> </w:t>
      </w:r>
      <w:r w:rsidR="00447BAC" w:rsidRPr="00FD3E43">
        <w:t>0.0</w:t>
      </w:r>
      <w:r w:rsidR="008F280D" w:rsidRPr="00FD3E43">
        <w:t>42</w:t>
      </w:r>
      <w:r w:rsidR="00447BAC" w:rsidRPr="00FD3E43">
        <w:t>)</w:t>
      </w:r>
      <w:r w:rsidR="00B4046B" w:rsidRPr="00FD3E43">
        <w:t>.</w:t>
      </w:r>
      <w:r w:rsidR="003771D5" w:rsidRPr="00FD3E43">
        <w:t xml:space="preserve"> </w:t>
      </w:r>
    </w:p>
    <w:p w14:paraId="3C42374E" w14:textId="77777777" w:rsidR="00C24B7D" w:rsidRPr="00FD3E43" w:rsidRDefault="00C24B7D" w:rsidP="003771D5">
      <w:pPr>
        <w:spacing w:after="0" w:line="240" w:lineRule="auto"/>
      </w:pPr>
    </w:p>
    <w:p w14:paraId="2BAEDE34" w14:textId="05ACB52D" w:rsidR="00264CC2" w:rsidRPr="00FD3E43" w:rsidRDefault="00E71976" w:rsidP="006E2BDD">
      <w:pPr>
        <w:spacing w:after="0" w:line="240" w:lineRule="auto"/>
      </w:pPr>
      <w:r w:rsidRPr="00FD3E43">
        <w:t>Nevertheless, w</w:t>
      </w:r>
      <w:r w:rsidR="00717392" w:rsidRPr="00FD3E43">
        <w:t xml:space="preserve">e </w:t>
      </w:r>
      <w:r w:rsidR="00C849BF" w:rsidRPr="00FD3E43">
        <w:t xml:space="preserve">explored our data </w:t>
      </w:r>
      <w:r w:rsidR="00393D08" w:rsidRPr="00FD3E43">
        <w:t>using</w:t>
      </w:r>
      <w:r w:rsidR="00C849BF" w:rsidRPr="00FD3E43">
        <w:t xml:space="preserve"> the analysis of covariance as </w:t>
      </w:r>
      <w:r w:rsidR="00717392" w:rsidRPr="00FD3E43">
        <w:t>post hoc sensitivity analys</w:t>
      </w:r>
      <w:r w:rsidR="00C849BF" w:rsidRPr="00FD3E43">
        <w:t>i</w:t>
      </w:r>
      <w:r w:rsidR="00717392" w:rsidRPr="00FD3E43">
        <w:t>s</w:t>
      </w:r>
      <w:r w:rsidR="00C849BF" w:rsidRPr="00FD3E43">
        <w:t>.</w:t>
      </w:r>
      <w:r w:rsidR="00717392" w:rsidRPr="00FD3E43">
        <w:t xml:space="preserve"> </w:t>
      </w:r>
      <w:r w:rsidR="00264CC2" w:rsidRPr="00FD3E43">
        <w:t>The results are presented in the table</w:t>
      </w:r>
      <w:r w:rsidR="00432082" w:rsidRPr="00FD3E43">
        <w:t xml:space="preserve"> </w:t>
      </w:r>
      <w:r w:rsidR="00947CDE" w:rsidRPr="00FD3E43">
        <w:t>above</w:t>
      </w:r>
      <w:r w:rsidR="00264CC2" w:rsidRPr="00FD3E43">
        <w:t>.</w:t>
      </w:r>
      <w:r w:rsidR="006E2BDD" w:rsidRPr="00FD3E43">
        <w:t xml:space="preserve"> </w:t>
      </w:r>
      <w:r w:rsidR="007476C7" w:rsidRPr="00FD3E43">
        <w:t xml:space="preserve">Due to problems with </w:t>
      </w:r>
      <w:r w:rsidR="001302DC" w:rsidRPr="00FD3E43">
        <w:t xml:space="preserve">the </w:t>
      </w:r>
      <w:r w:rsidR="007476C7" w:rsidRPr="00FD3E43">
        <w:t xml:space="preserve">assumptions, the results from </w:t>
      </w:r>
      <w:r w:rsidR="00531C94" w:rsidRPr="00FD3E43">
        <w:t>th</w:t>
      </w:r>
      <w:r w:rsidR="00094A64" w:rsidRPr="00FD3E43">
        <w:t>is</w:t>
      </w:r>
      <w:r w:rsidR="00531C94" w:rsidRPr="00FD3E43">
        <w:t xml:space="preserve"> </w:t>
      </w:r>
      <w:r w:rsidR="007476C7" w:rsidRPr="00FD3E43">
        <w:t xml:space="preserve">analysis may not be valid for all outcomes and should be interpreted carefully. </w:t>
      </w:r>
      <w:r w:rsidR="00264CC2" w:rsidRPr="00FD3E43">
        <w:t xml:space="preserve">Eventually, neither of the </w:t>
      </w:r>
      <w:r w:rsidR="00947CDE" w:rsidRPr="00FD3E43">
        <w:t xml:space="preserve">statistical </w:t>
      </w:r>
      <w:r w:rsidR="00264CC2" w:rsidRPr="00FD3E43">
        <w:t xml:space="preserve">methods demonstrated differences that would be interpreted as clinically important (difference between groups </w:t>
      </w:r>
      <w:r w:rsidR="00264CC2" w:rsidRPr="00FD3E43">
        <w:rPr>
          <w:rFonts w:cstheme="minorHAnsi"/>
        </w:rPr>
        <w:t>≥</w:t>
      </w:r>
      <w:r w:rsidR="00264CC2" w:rsidRPr="00FD3E43">
        <w:t xml:space="preserve"> 1.0 by numerical rating scale).</w:t>
      </w:r>
    </w:p>
    <w:p w14:paraId="22A373F5" w14:textId="77777777" w:rsidR="00264CC2" w:rsidRPr="00FD3E43" w:rsidRDefault="00264CC2" w:rsidP="001B0729">
      <w:pPr>
        <w:spacing w:after="0" w:line="240" w:lineRule="auto"/>
      </w:pPr>
    </w:p>
    <w:p w14:paraId="0EC255E6" w14:textId="77777777" w:rsidR="007476C7" w:rsidRPr="00FD3E43" w:rsidRDefault="0096268C" w:rsidP="00432082">
      <w:pPr>
        <w:spacing w:after="0" w:line="240" w:lineRule="auto"/>
      </w:pPr>
      <w:r w:rsidRPr="00FD3E43">
        <w:t xml:space="preserve"> </w:t>
      </w:r>
    </w:p>
    <w:p w14:paraId="79EE1E6D" w14:textId="5239CEE0" w:rsidR="00432082" w:rsidRPr="006E2BDD" w:rsidRDefault="00432082" w:rsidP="00432082">
      <w:pPr>
        <w:spacing w:after="0" w:line="240" w:lineRule="auto"/>
      </w:pPr>
    </w:p>
    <w:p w14:paraId="064FC7A9" w14:textId="3F124385" w:rsidR="00A2791F" w:rsidRDefault="00A2791F" w:rsidP="00310664"/>
    <w:p w14:paraId="3C563368" w14:textId="627BD4E8" w:rsidR="00E84F8F" w:rsidRPr="00696436" w:rsidRDefault="00E84F8F" w:rsidP="00310664">
      <w:pPr>
        <w:rPr>
          <w:u w:val="single"/>
        </w:rPr>
      </w:pPr>
      <w:r w:rsidRPr="00696436">
        <w:rPr>
          <w:u w:val="single"/>
        </w:rPr>
        <w:t>Reference</w:t>
      </w:r>
    </w:p>
    <w:p w14:paraId="52EA67C2" w14:textId="04FD87FA" w:rsidR="00CC04AF" w:rsidRDefault="00E71976" w:rsidP="00696436">
      <w:pPr>
        <w:pStyle w:val="Otsikko1"/>
        <w:numPr>
          <w:ilvl w:val="0"/>
          <w:numId w:val="1"/>
        </w:numPr>
        <w:shd w:val="clear" w:color="auto" w:fill="FFFFFF"/>
      </w:pPr>
      <w:r w:rsidRPr="00D6500B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Vickers AJ, Altman DG. Statistics notes: Analysing controlled trials with baseline and follow up measurements</w:t>
      </w:r>
      <w:r w:rsidR="00E84F8F" w:rsidRPr="00D6500B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. </w:t>
      </w:r>
      <w:r w:rsidR="00E84F8F" w:rsidRPr="00696436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BMJ </w:t>
      </w:r>
      <w:r w:rsidRPr="00696436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2001</w:t>
      </w:r>
      <w:r w:rsidR="00E84F8F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; </w:t>
      </w:r>
      <w:r w:rsidRPr="00696436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323:</w:t>
      </w:r>
      <w:r w:rsidR="00E84F8F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</w:t>
      </w:r>
      <w:r w:rsidRPr="00696436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1123</w:t>
      </w:r>
      <w:r w:rsidR="00E84F8F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–</w:t>
      </w:r>
      <w:r w:rsidRPr="00696436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4</w:t>
      </w:r>
    </w:p>
    <w:sectPr w:rsidR="00CC04AF" w:rsidSect="00982D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775E7"/>
    <w:multiLevelType w:val="hybridMultilevel"/>
    <w:tmpl w:val="AB5EA396"/>
    <w:lvl w:ilvl="0" w:tplc="BF2A2A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4C"/>
    <w:rsid w:val="00004490"/>
    <w:rsid w:val="00004C5A"/>
    <w:rsid w:val="000248F9"/>
    <w:rsid w:val="0003496E"/>
    <w:rsid w:val="00034C4E"/>
    <w:rsid w:val="00053EB6"/>
    <w:rsid w:val="000617C5"/>
    <w:rsid w:val="000639E5"/>
    <w:rsid w:val="00066171"/>
    <w:rsid w:val="0007624F"/>
    <w:rsid w:val="00094A64"/>
    <w:rsid w:val="000C7D29"/>
    <w:rsid w:val="00126D09"/>
    <w:rsid w:val="001302DC"/>
    <w:rsid w:val="001320B7"/>
    <w:rsid w:val="00156075"/>
    <w:rsid w:val="00160BA3"/>
    <w:rsid w:val="00171DCD"/>
    <w:rsid w:val="0018669D"/>
    <w:rsid w:val="001B0729"/>
    <w:rsid w:val="001C5F12"/>
    <w:rsid w:val="001C72F5"/>
    <w:rsid w:val="001C783A"/>
    <w:rsid w:val="001D37B1"/>
    <w:rsid w:val="001F06A4"/>
    <w:rsid w:val="001F7BC5"/>
    <w:rsid w:val="002028D0"/>
    <w:rsid w:val="00221D38"/>
    <w:rsid w:val="00240ABA"/>
    <w:rsid w:val="002558E5"/>
    <w:rsid w:val="00264CC2"/>
    <w:rsid w:val="00273808"/>
    <w:rsid w:val="00275F61"/>
    <w:rsid w:val="00284A0D"/>
    <w:rsid w:val="00284D93"/>
    <w:rsid w:val="002A1481"/>
    <w:rsid w:val="002A399E"/>
    <w:rsid w:val="002B7672"/>
    <w:rsid w:val="002C2C66"/>
    <w:rsid w:val="002C3209"/>
    <w:rsid w:val="002D59A6"/>
    <w:rsid w:val="002F637D"/>
    <w:rsid w:val="00304319"/>
    <w:rsid w:val="00310664"/>
    <w:rsid w:val="00324168"/>
    <w:rsid w:val="00343CD5"/>
    <w:rsid w:val="00364209"/>
    <w:rsid w:val="00365023"/>
    <w:rsid w:val="00367FF9"/>
    <w:rsid w:val="003771D5"/>
    <w:rsid w:val="00393D08"/>
    <w:rsid w:val="003A1E97"/>
    <w:rsid w:val="003D1CAE"/>
    <w:rsid w:val="003D6AFB"/>
    <w:rsid w:val="003F6583"/>
    <w:rsid w:val="00411CE9"/>
    <w:rsid w:val="00414A81"/>
    <w:rsid w:val="00432082"/>
    <w:rsid w:val="00447627"/>
    <w:rsid w:val="00447BAC"/>
    <w:rsid w:val="00462F70"/>
    <w:rsid w:val="00490E58"/>
    <w:rsid w:val="0049149C"/>
    <w:rsid w:val="004921CE"/>
    <w:rsid w:val="004B2CD5"/>
    <w:rsid w:val="004C1B9C"/>
    <w:rsid w:val="004D6C59"/>
    <w:rsid w:val="004F303C"/>
    <w:rsid w:val="005054BA"/>
    <w:rsid w:val="00531C94"/>
    <w:rsid w:val="0054122C"/>
    <w:rsid w:val="00542AA9"/>
    <w:rsid w:val="00543ABF"/>
    <w:rsid w:val="00544D0F"/>
    <w:rsid w:val="005624C1"/>
    <w:rsid w:val="0056375A"/>
    <w:rsid w:val="00574224"/>
    <w:rsid w:val="00584236"/>
    <w:rsid w:val="00595BEC"/>
    <w:rsid w:val="005B36BE"/>
    <w:rsid w:val="005D3AC5"/>
    <w:rsid w:val="005D4F69"/>
    <w:rsid w:val="006015FE"/>
    <w:rsid w:val="00607B3E"/>
    <w:rsid w:val="00617032"/>
    <w:rsid w:val="0062064C"/>
    <w:rsid w:val="0062478D"/>
    <w:rsid w:val="00644B2F"/>
    <w:rsid w:val="006526D5"/>
    <w:rsid w:val="00696436"/>
    <w:rsid w:val="006A5A3B"/>
    <w:rsid w:val="006B07B5"/>
    <w:rsid w:val="006B2F72"/>
    <w:rsid w:val="006D04D1"/>
    <w:rsid w:val="006D4B9F"/>
    <w:rsid w:val="006E2BDD"/>
    <w:rsid w:val="0070579C"/>
    <w:rsid w:val="00716FCC"/>
    <w:rsid w:val="00717392"/>
    <w:rsid w:val="0072663B"/>
    <w:rsid w:val="007476C7"/>
    <w:rsid w:val="00757182"/>
    <w:rsid w:val="007675A4"/>
    <w:rsid w:val="0077437D"/>
    <w:rsid w:val="0078255E"/>
    <w:rsid w:val="00794B43"/>
    <w:rsid w:val="007A599A"/>
    <w:rsid w:val="007B1F49"/>
    <w:rsid w:val="007D3638"/>
    <w:rsid w:val="007D4EE3"/>
    <w:rsid w:val="0084557D"/>
    <w:rsid w:val="008467E9"/>
    <w:rsid w:val="008568B4"/>
    <w:rsid w:val="0086384A"/>
    <w:rsid w:val="00866D1A"/>
    <w:rsid w:val="00893004"/>
    <w:rsid w:val="008A7434"/>
    <w:rsid w:val="008F280D"/>
    <w:rsid w:val="009122B7"/>
    <w:rsid w:val="00924CC1"/>
    <w:rsid w:val="009409DF"/>
    <w:rsid w:val="00947CDE"/>
    <w:rsid w:val="0096268C"/>
    <w:rsid w:val="00982DB3"/>
    <w:rsid w:val="00983D6B"/>
    <w:rsid w:val="0098622D"/>
    <w:rsid w:val="0099370A"/>
    <w:rsid w:val="009F11C1"/>
    <w:rsid w:val="00A0274E"/>
    <w:rsid w:val="00A10D32"/>
    <w:rsid w:val="00A1165C"/>
    <w:rsid w:val="00A15578"/>
    <w:rsid w:val="00A16388"/>
    <w:rsid w:val="00A1795F"/>
    <w:rsid w:val="00A27487"/>
    <w:rsid w:val="00A2791F"/>
    <w:rsid w:val="00A51026"/>
    <w:rsid w:val="00A51EA5"/>
    <w:rsid w:val="00A5535C"/>
    <w:rsid w:val="00A6020C"/>
    <w:rsid w:val="00A60D53"/>
    <w:rsid w:val="00A819E5"/>
    <w:rsid w:val="00A90DD7"/>
    <w:rsid w:val="00AB68EA"/>
    <w:rsid w:val="00AB79AC"/>
    <w:rsid w:val="00AE17E3"/>
    <w:rsid w:val="00AE6BDF"/>
    <w:rsid w:val="00AF237B"/>
    <w:rsid w:val="00B02952"/>
    <w:rsid w:val="00B06519"/>
    <w:rsid w:val="00B22818"/>
    <w:rsid w:val="00B263C4"/>
    <w:rsid w:val="00B304FA"/>
    <w:rsid w:val="00B32E64"/>
    <w:rsid w:val="00B34403"/>
    <w:rsid w:val="00B4046B"/>
    <w:rsid w:val="00B515A3"/>
    <w:rsid w:val="00B55AED"/>
    <w:rsid w:val="00B66C2C"/>
    <w:rsid w:val="00B86158"/>
    <w:rsid w:val="00BA142D"/>
    <w:rsid w:val="00BA1EE1"/>
    <w:rsid w:val="00BA44AE"/>
    <w:rsid w:val="00BB689D"/>
    <w:rsid w:val="00BB7145"/>
    <w:rsid w:val="00BF2B0D"/>
    <w:rsid w:val="00BF5EE8"/>
    <w:rsid w:val="00C0160B"/>
    <w:rsid w:val="00C01623"/>
    <w:rsid w:val="00C04C4C"/>
    <w:rsid w:val="00C1526B"/>
    <w:rsid w:val="00C24B7D"/>
    <w:rsid w:val="00C33126"/>
    <w:rsid w:val="00C33FA3"/>
    <w:rsid w:val="00C404F8"/>
    <w:rsid w:val="00C41333"/>
    <w:rsid w:val="00C413A8"/>
    <w:rsid w:val="00C53022"/>
    <w:rsid w:val="00C75691"/>
    <w:rsid w:val="00C76844"/>
    <w:rsid w:val="00C84216"/>
    <w:rsid w:val="00C849BF"/>
    <w:rsid w:val="00C95E5A"/>
    <w:rsid w:val="00C97768"/>
    <w:rsid w:val="00CA684B"/>
    <w:rsid w:val="00CA6A6C"/>
    <w:rsid w:val="00CC04AF"/>
    <w:rsid w:val="00CD5C1C"/>
    <w:rsid w:val="00CE0021"/>
    <w:rsid w:val="00CE53F9"/>
    <w:rsid w:val="00CF4E13"/>
    <w:rsid w:val="00D25602"/>
    <w:rsid w:val="00D363B8"/>
    <w:rsid w:val="00D45143"/>
    <w:rsid w:val="00D6500B"/>
    <w:rsid w:val="00DC2EED"/>
    <w:rsid w:val="00DD544C"/>
    <w:rsid w:val="00DD5A06"/>
    <w:rsid w:val="00E00052"/>
    <w:rsid w:val="00E12CF6"/>
    <w:rsid w:val="00E14A30"/>
    <w:rsid w:val="00E21471"/>
    <w:rsid w:val="00E21E01"/>
    <w:rsid w:val="00E4632E"/>
    <w:rsid w:val="00E6143D"/>
    <w:rsid w:val="00E64F34"/>
    <w:rsid w:val="00E65C3F"/>
    <w:rsid w:val="00E71976"/>
    <w:rsid w:val="00E84F8F"/>
    <w:rsid w:val="00ED5546"/>
    <w:rsid w:val="00F17CC6"/>
    <w:rsid w:val="00F3615B"/>
    <w:rsid w:val="00F3665D"/>
    <w:rsid w:val="00F36C9F"/>
    <w:rsid w:val="00F41567"/>
    <w:rsid w:val="00F52056"/>
    <w:rsid w:val="00F53152"/>
    <w:rsid w:val="00F570AF"/>
    <w:rsid w:val="00F7297F"/>
    <w:rsid w:val="00F801E0"/>
    <w:rsid w:val="00FB0653"/>
    <w:rsid w:val="00FB28ED"/>
    <w:rsid w:val="00FC5E92"/>
    <w:rsid w:val="00FD3E43"/>
    <w:rsid w:val="00F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F882"/>
  <w15:chartTrackingRefBased/>
  <w15:docId w15:val="{2F6D9DA0-C555-40D0-B6B2-AB1AC65F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04C4C"/>
  </w:style>
  <w:style w:type="paragraph" w:styleId="Otsikko1">
    <w:name w:val="heading 1"/>
    <w:basedOn w:val="Normaali"/>
    <w:link w:val="Otsikko1Char"/>
    <w:uiPriority w:val="9"/>
    <w:qFormat/>
    <w:rsid w:val="00E71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9300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7A599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A599A"/>
    <w:pPr>
      <w:spacing w:line="240" w:lineRule="auto"/>
    </w:pPr>
    <w:rPr>
      <w:sz w:val="20"/>
      <w:szCs w:val="20"/>
      <w:lang w:val="en-GB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A599A"/>
    <w:rPr>
      <w:sz w:val="20"/>
      <w:szCs w:val="20"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1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7392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E71976"/>
    <w:rPr>
      <w:rFonts w:ascii="Times New Roman" w:eastAsia="Times New Roman" w:hAnsi="Times New Roman" w:cs="Times New Roman"/>
      <w:b/>
      <w:bCs/>
      <w:kern w:val="36"/>
      <w:sz w:val="48"/>
      <w:szCs w:val="48"/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A6A6C"/>
    <w:rPr>
      <w:b/>
      <w:bCs/>
      <w:lang w:val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A6A6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3847-F37F-4F01-AF54-7E03C47F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 Palanne</dc:creator>
  <cp:keywords/>
  <dc:description/>
  <cp:lastModifiedBy>Riku Palanne</cp:lastModifiedBy>
  <cp:revision>6</cp:revision>
  <dcterms:created xsi:type="dcterms:W3CDTF">2021-06-20T18:43:00Z</dcterms:created>
  <dcterms:modified xsi:type="dcterms:W3CDTF">2021-06-21T20:19:00Z</dcterms:modified>
</cp:coreProperties>
</file>