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7"/>
        <w:gridCol w:w="1843"/>
        <w:gridCol w:w="3684"/>
      </w:tblGrid>
      <w:tr w:rsidR="001966D3" w:rsidRPr="00F50F10" w:rsidTr="00CA2849">
        <w:trPr>
          <w:trHeight w:val="113"/>
        </w:trPr>
        <w:tc>
          <w:tcPr>
            <w:tcW w:w="3089" w:type="pct"/>
            <w:gridSpan w:val="3"/>
            <w:tcBorders>
              <w:bottom w:val="single" w:sz="4" w:space="0" w:color="auto"/>
            </w:tcBorders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Supplementary Digital Content 2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Definitions of variables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966D3" w:rsidRPr="00B2769F" w:rsidTr="00CA2849">
        <w:trPr>
          <w:trHeight w:val="113"/>
        </w:trPr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Source database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Data entry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1911" w:type="pct"/>
            <w:tcBorders>
              <w:top w:val="single" w:sz="4" w:space="0" w:color="auto"/>
              <w:bottom w:val="single" w:sz="4" w:space="0" w:color="auto"/>
            </w:tcBorders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Definitions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tcBorders>
              <w:top w:val="single" w:sz="4" w:space="0" w:color="auto"/>
            </w:tcBorders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Danish Anesthesia Database (DAD)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Baseline characteristics registered at time of pre-anesthesia interview and anesthesia related variables registered postoperatively by attending anesthetist</w:t>
            </w:r>
          </w:p>
        </w:tc>
        <w:tc>
          <w:tcPr>
            <w:tcW w:w="956" w:type="pct"/>
            <w:tcBorders>
              <w:top w:val="single" w:sz="4" w:space="0" w:color="auto"/>
            </w:tcBorders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ASA Score</w:t>
            </w:r>
          </w:p>
        </w:tc>
        <w:tc>
          <w:tcPr>
            <w:tcW w:w="1911" w:type="pct"/>
            <w:tcBorders>
              <w:top w:val="single" w:sz="4" w:space="0" w:color="auto"/>
            </w:tcBorders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I, II, III, IV, V or VI according to guidelines by American Society of Anesthesiologists</w:t>
            </w:r>
          </w:p>
        </w:tc>
      </w:tr>
      <w:tr w:rsidR="001966D3" w:rsidRPr="00B2769F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Body Mass Index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kg x m^2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F50F10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Epidural analgesia</w:t>
            </w:r>
          </w:p>
        </w:tc>
        <w:tc>
          <w:tcPr>
            <w:tcW w:w="1911" w:type="pct"/>
          </w:tcPr>
          <w:p w:rsidR="001966D3" w:rsidRPr="00B2769F" w:rsidRDefault="00F50F10" w:rsidP="00F50F1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Epidural catheter iserted</w:t>
            </w:r>
            <w:bookmarkStart w:id="0" w:name="_GoBack"/>
            <w:bookmarkEnd w:id="0"/>
            <w:r w:rsidR="001966D3"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prior to surgery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Type of general an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esthesia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Total intravenous anesthesia or inhalation anesthesia if volatile agents (except nitrous oxide) </w:t>
            </w:r>
            <w:proofErr w:type="gramStart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were used</w:t>
            </w:r>
            <w:proofErr w:type="gramEnd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during surgery.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Danish Colorectal Cancer Group Database (DCCG)</w:t>
            </w: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Entered by surgeon responsible for treatment</w:t>
            </w: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Alcohol consumption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Weekly units of 12 g alcohol. If the data were </w:t>
            </w:r>
            <w:proofErr w:type="gramStart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missing</w:t>
            </w:r>
            <w:proofErr w:type="gramEnd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the 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ata was obtained from Danish An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esthesia Database where it w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 entered preoperatively by an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esthetists.</w:t>
            </w:r>
          </w:p>
        </w:tc>
      </w:tr>
      <w:tr w:rsidR="001966D3" w:rsidRPr="00B2769F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Converted from laparoscopy to laparotomy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</w:t>
            </w:r>
          </w:p>
        </w:tc>
      </w:tr>
      <w:tr w:rsidR="001966D3" w:rsidRPr="00B2769F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 of operation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Localization of tumo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Direct entry by surgeon. Righ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t-sided tumo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 </w:t>
            </w:r>
            <w:proofErr w:type="gramStart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 defined</w:t>
            </w:r>
            <w:proofErr w:type="gramEnd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as cecum, ascending colon, right flexure and transverse colon. Left sided tumor </w:t>
            </w:r>
            <w:proofErr w:type="gramStart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 defined</w:t>
            </w:r>
            <w:proofErr w:type="gramEnd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as left flexure, descending colon and sigmoid colon.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Surgical approach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Registered as "Laparotomy", "Laparoscopy" or "TaTME". "Laparoscopy” or "TaTME" constituted minimally invasive surgery.</w:t>
            </w:r>
          </w:p>
        </w:tc>
      </w:tr>
      <w:tr w:rsidR="001966D3" w:rsidRPr="00B2769F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Preoperative oncologic treatment 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Tobacco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Smoker or non-smoker. The 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ata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 obtained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from Danish An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esthesia Database if they were not available in DCCG.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Urgency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"Elective" or "Acute" according to surgeon. DCCG guidelines describe procedures with the indication perforation, ileus and bleeding as acute. 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Generated automatically through linkage to Danish National Patient Registry.</w:t>
            </w: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Charlson Comorbidity Index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Based on registrations in the Danish National Patient Registry 10 years prior to cancer diagnosis. If cancer diagnoses </w:t>
            </w:r>
            <w:proofErr w:type="gramStart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were registered</w:t>
            </w:r>
            <w:proofErr w:type="gramEnd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less than 90 days from current colorectal cancer diagnosis, they were excluded.</w:t>
            </w:r>
          </w:p>
        </w:tc>
      </w:tr>
      <w:tr w:rsidR="001966D3" w:rsidRPr="00B2769F" w:rsidTr="00220400">
        <w:trPr>
          <w:trHeight w:val="113"/>
        </w:trPr>
        <w:tc>
          <w:tcPr>
            <w:tcW w:w="1102" w:type="pct"/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Danish Civil Registration System</w:t>
            </w: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Automatic registration from birth or death certificates or end of Danish residence</w:t>
            </w: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</w:t>
            </w:r>
          </w:p>
        </w:tc>
      </w:tr>
      <w:tr w:rsidR="001966D3" w:rsidRPr="00B2769F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 of Death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</w:t>
            </w:r>
          </w:p>
        </w:tc>
      </w:tr>
      <w:tr w:rsidR="001966D3" w:rsidRPr="00B2769F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 of emigration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Sex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Biological sex at time of birth. 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Danish National Prescription Registry</w:t>
            </w: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Automatic data entry when prescriptions are filled at pharmacy</w:t>
            </w: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Proton pump inhibitors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"A02BC" or subgroups.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Antidiabetics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"A10"or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Acetyl Salicylic acid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"B01AC06"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Other platelet inhibitors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"B01AC" or subgroups excluding "B01AC06"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Anticoagulants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"B01A" or subgroups excluding "B01AC" and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Digoxin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"C01AA05"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Thiazides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"C03"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Beta blockers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"C07"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Calcium channel blockers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"C08"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Drugs acting on renin angiotensin system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"C09"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Lipid lowering drugs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"C10"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Estrogen hormone replacement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"G03C"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Corticosteroids for systemic use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"H02"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Non-steroid anti-inflammatory drugs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"M01A" or subgroups excluding “M01AH” and subgroups and “”M01AX05” and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Urate lowering drugs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"M04"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Bisphosphonates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"M05BA" or "M05BB"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Opioids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"N02A"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Benzodiazepines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"N05CD" or subgroups and "N05CF"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Antidepressants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"N06A" or subgroups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Drugs for obstructive airway diseases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Yes/No, Filled prescriptions within 90 days before surgery of ATC "R03"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1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6" w:type="pct"/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 of different prescriptions</w:t>
            </w:r>
          </w:p>
        </w:tc>
        <w:tc>
          <w:tcPr>
            <w:tcW w:w="1911" w:type="pct"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 of distinct ATC codes in prescriptions within 90 days from surgery.</w:t>
            </w:r>
          </w:p>
        </w:tc>
      </w:tr>
      <w:tr w:rsidR="001966D3" w:rsidRPr="00F50F10" w:rsidTr="00220400">
        <w:trPr>
          <w:trHeight w:val="113"/>
        </w:trPr>
        <w:tc>
          <w:tcPr>
            <w:tcW w:w="1102" w:type="pct"/>
            <w:tcBorders>
              <w:bottom w:val="single" w:sz="4" w:space="0" w:color="auto"/>
            </w:tcBorders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Danish National Patient Registry, Danish National Pathology Registry and Danish Cancer Registry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noWrap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Data are entered into electronic patient files and automatically transferred to databases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 of recurrence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 Metastatic cancer codes(ICD-10 DC76-DC80) in the Danish National Patient Registry or Danish Cancer Registry over 180 days from surgery and no postoperative cancer diagnosis different from colorectal cancer and non-melanoma skin cancer (ICD10 C44) in between.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2. Chemotherapy (SKS-codes BWHA1-2, BOHJ17 or BOHJ19B1) in Danish National Patient Registry over 180 after surgery or over 60 days after last chemotherapy code without a new primary cancer registered in between.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gramStart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 SNOMED (T6491, T65900, T65901, T65925, T65926, T660, T67 or T68 in combination with morphology code M8 or M9 with ≥ 3 in fifth position; any T code with morphology code M8 or M9 with 4, 6 or 7 in fifth position; or T56 in combination with M81403) registered in Danish National Pathology Registry over 180 days after surgery without new primary cancer in between.</w:t>
            </w:r>
            <w:proofErr w:type="gramEnd"/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4. Local colorectal cancer recurrence registration (ICD-10 DC189X and DC209X) in Danish National Patient Registry any time after surgery.</w:t>
            </w:r>
          </w:p>
        </w:tc>
      </w:tr>
      <w:tr w:rsidR="001966D3" w:rsidRPr="00F50F10" w:rsidTr="0022040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hideMark/>
          </w:tcPr>
          <w:p w:rsidR="001966D3" w:rsidRPr="00B2769F" w:rsidRDefault="001966D3" w:rsidP="002204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ICD-10 = International Classification of Diseases version 10, SKS = Danish Health Service Classification System.</w:t>
            </w:r>
          </w:p>
        </w:tc>
      </w:tr>
    </w:tbl>
    <w:p w:rsidR="00D0156A" w:rsidRPr="001966D3" w:rsidRDefault="00F50F10">
      <w:pPr>
        <w:rPr>
          <w:rFonts w:ascii="Georgia" w:hAnsi="Georgia"/>
          <w:lang w:val="en-US"/>
        </w:rPr>
      </w:pPr>
    </w:p>
    <w:sectPr w:rsidR="00D0156A" w:rsidRPr="001966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3"/>
    <w:rsid w:val="001966D3"/>
    <w:rsid w:val="004763B3"/>
    <w:rsid w:val="0050739D"/>
    <w:rsid w:val="00646581"/>
    <w:rsid w:val="008D5811"/>
    <w:rsid w:val="00C629FE"/>
    <w:rsid w:val="00CA2849"/>
    <w:rsid w:val="00F50F10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32558-9B41-4736-8EAC-B145B696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D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9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5233</Characters>
  <Application>Microsoft Office Word</Application>
  <DocSecurity>0</DocSecurity>
  <Lines>290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Børch Hasselager</dc:creator>
  <cp:keywords/>
  <dc:description/>
  <cp:lastModifiedBy>Rune Børch Hasselager</cp:lastModifiedBy>
  <cp:revision>3</cp:revision>
  <dcterms:created xsi:type="dcterms:W3CDTF">2021-01-29T10:00:00Z</dcterms:created>
  <dcterms:modified xsi:type="dcterms:W3CDTF">2021-09-08T21:07:00Z</dcterms:modified>
</cp:coreProperties>
</file>