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7ABC" w14:textId="77777777" w:rsidR="00C57981" w:rsidRPr="00A22E34" w:rsidRDefault="00C57981" w:rsidP="00C57981">
      <w:pPr>
        <w:spacing w:line="480" w:lineRule="auto"/>
        <w:rPr>
          <w:rFonts w:ascii="Calibri" w:hAnsi="Calibri" w:cs="Calibri"/>
          <w:bCs/>
          <w:color w:val="000000" w:themeColor="text1"/>
          <w:lang w:val="en-US"/>
        </w:rPr>
      </w:pPr>
      <w:r w:rsidRPr="00A22E34">
        <w:rPr>
          <w:rFonts w:ascii="Calibri" w:hAnsi="Calibri" w:cs="Calibri"/>
          <w:b/>
          <w:bCs/>
          <w:color w:val="000000" w:themeColor="text1"/>
          <w:lang w:val="en-US"/>
        </w:rPr>
        <w:t xml:space="preserve">Supplemental Table </w:t>
      </w:r>
      <w:r w:rsidRPr="00A22E34">
        <w:rPr>
          <w:rFonts w:ascii="Calibri" w:hAnsi="Calibri" w:cs="Calibri"/>
          <w:bCs/>
          <w:color w:val="000000" w:themeColor="text1"/>
          <w:lang w:val="en-US"/>
        </w:rPr>
        <w:t>Primary composite outcome and breakdown of individual components.</w:t>
      </w: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7372"/>
        <w:gridCol w:w="1795"/>
        <w:gridCol w:w="1607"/>
      </w:tblGrid>
      <w:tr w:rsidR="00A22E34" w:rsidRPr="00A22E34" w14:paraId="2B382ADB" w14:textId="77777777" w:rsidTr="00501EE9">
        <w:trPr>
          <w:jc w:val="center"/>
        </w:trPr>
        <w:tc>
          <w:tcPr>
            <w:tcW w:w="7372" w:type="dxa"/>
            <w:vAlign w:val="center"/>
          </w:tcPr>
          <w:p w14:paraId="41A643C1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Outcome</w:t>
            </w:r>
          </w:p>
        </w:tc>
        <w:tc>
          <w:tcPr>
            <w:tcW w:w="1795" w:type="dxa"/>
            <w:vAlign w:val="center"/>
          </w:tcPr>
          <w:p w14:paraId="22822B91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Dural puncture epidural</w:t>
            </w:r>
          </w:p>
          <w:p w14:paraId="76CE1517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(n=66)</w:t>
            </w:r>
          </w:p>
        </w:tc>
        <w:tc>
          <w:tcPr>
            <w:tcW w:w="1607" w:type="dxa"/>
            <w:vAlign w:val="center"/>
          </w:tcPr>
          <w:p w14:paraId="5B0C1521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Standard epidural</w:t>
            </w:r>
          </w:p>
          <w:p w14:paraId="799383E7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(n=66)</w:t>
            </w:r>
          </w:p>
        </w:tc>
      </w:tr>
      <w:tr w:rsidR="00A22E34" w:rsidRPr="00A22E34" w14:paraId="1C7C84F0" w14:textId="77777777" w:rsidTr="00501EE9">
        <w:trPr>
          <w:jc w:val="center"/>
        </w:trPr>
        <w:tc>
          <w:tcPr>
            <w:tcW w:w="7372" w:type="dxa"/>
          </w:tcPr>
          <w:p w14:paraId="24D0E9CE" w14:textId="543C05E6" w:rsidR="00C57981" w:rsidRPr="00A22E34" w:rsidRDefault="00A22E34" w:rsidP="00501EE9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color w:val="000000" w:themeColor="text1"/>
                <w:lang w:val="en-US"/>
              </w:rPr>
              <w:t>Primary c</w:t>
            </w:r>
            <w:r w:rsidR="00C57981" w:rsidRPr="00A22E34">
              <w:rPr>
                <w:rFonts w:ascii="Calibri" w:hAnsi="Calibri" w:cs="Calibri"/>
                <w:b/>
                <w:color w:val="000000" w:themeColor="text1"/>
                <w:lang w:val="en-US"/>
              </w:rPr>
              <w:t>omposite outcome, n (%)</w:t>
            </w:r>
          </w:p>
        </w:tc>
        <w:tc>
          <w:tcPr>
            <w:tcW w:w="1795" w:type="dxa"/>
          </w:tcPr>
          <w:p w14:paraId="7DA639EE" w14:textId="6EEC62D6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34 (5</w:t>
            </w:r>
            <w:r w:rsidR="00883206">
              <w:rPr>
                <w:rFonts w:ascii="Calibri" w:hAnsi="Calibri" w:cs="Calibri"/>
                <w:bCs/>
                <w:color w:val="000000" w:themeColor="text1"/>
                <w:lang w:val="en-US"/>
              </w:rPr>
              <w:t>2</w:t>
            </w: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1607" w:type="dxa"/>
          </w:tcPr>
          <w:p w14:paraId="6D096535" w14:textId="791D68E6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32 (4</w:t>
            </w:r>
            <w:r w:rsidR="00883206">
              <w:rPr>
                <w:rFonts w:ascii="Calibri" w:hAnsi="Calibri" w:cs="Calibri"/>
                <w:bCs/>
                <w:color w:val="000000" w:themeColor="text1"/>
                <w:lang w:val="en-US"/>
              </w:rPr>
              <w:t>9</w:t>
            </w: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)</w:t>
            </w:r>
          </w:p>
        </w:tc>
      </w:tr>
      <w:tr w:rsidR="00A22E34" w:rsidRPr="00A22E34" w14:paraId="5852DC1C" w14:textId="77777777" w:rsidTr="00501EE9">
        <w:trPr>
          <w:jc w:val="center"/>
        </w:trPr>
        <w:tc>
          <w:tcPr>
            <w:tcW w:w="7372" w:type="dxa"/>
          </w:tcPr>
          <w:p w14:paraId="7004A734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color w:val="000000" w:themeColor="text1"/>
                <w:lang w:val="en-US"/>
              </w:rPr>
              <w:t>Components of the primary outcome</w:t>
            </w:r>
          </w:p>
        </w:tc>
        <w:tc>
          <w:tcPr>
            <w:tcW w:w="1795" w:type="dxa"/>
          </w:tcPr>
          <w:p w14:paraId="7D8F62AF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</w:p>
        </w:tc>
        <w:tc>
          <w:tcPr>
            <w:tcW w:w="1607" w:type="dxa"/>
          </w:tcPr>
          <w:p w14:paraId="00C9C9E4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</w:p>
        </w:tc>
      </w:tr>
      <w:tr w:rsidR="00A22E34" w:rsidRPr="00A22E34" w14:paraId="61FE88F7" w14:textId="77777777" w:rsidTr="00501EE9">
        <w:trPr>
          <w:jc w:val="center"/>
        </w:trPr>
        <w:tc>
          <w:tcPr>
            <w:tcW w:w="7372" w:type="dxa"/>
          </w:tcPr>
          <w:p w14:paraId="7DD3056C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patients with asymmetric block, n (</w:t>
            </w:r>
            <w:proofErr w:type="gramStart"/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%)</w:t>
            </w:r>
            <w:r w:rsidRPr="00A22E34">
              <w:rPr>
                <w:rFonts w:ascii="Calibri" w:hAnsi="Calibri" w:cs="Calibri"/>
                <w:color w:val="000000" w:themeColor="text1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1795" w:type="dxa"/>
          </w:tcPr>
          <w:p w14:paraId="2383F114" w14:textId="6E2CF8FF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14 (21)</w:t>
            </w:r>
          </w:p>
        </w:tc>
        <w:tc>
          <w:tcPr>
            <w:tcW w:w="1607" w:type="dxa"/>
          </w:tcPr>
          <w:p w14:paraId="17C45506" w14:textId="4F7DCA8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14 (21)</w:t>
            </w:r>
          </w:p>
        </w:tc>
      </w:tr>
      <w:tr w:rsidR="00A22E34" w:rsidRPr="00A22E34" w14:paraId="5F70B955" w14:textId="77777777" w:rsidTr="00501EE9">
        <w:trPr>
          <w:jc w:val="center"/>
        </w:trPr>
        <w:tc>
          <w:tcPr>
            <w:tcW w:w="7372" w:type="dxa"/>
          </w:tcPr>
          <w:p w14:paraId="7CD95800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patients requiring epidural top-ups, n (%)</w:t>
            </w:r>
          </w:p>
        </w:tc>
        <w:tc>
          <w:tcPr>
            <w:tcW w:w="1795" w:type="dxa"/>
          </w:tcPr>
          <w:p w14:paraId="3911E3E6" w14:textId="609FC4C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26 (39)</w:t>
            </w:r>
          </w:p>
        </w:tc>
        <w:tc>
          <w:tcPr>
            <w:tcW w:w="1607" w:type="dxa"/>
          </w:tcPr>
          <w:p w14:paraId="7E60B79B" w14:textId="69FAB571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30 (4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6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</w:tc>
      </w:tr>
      <w:tr w:rsidR="00A22E34" w:rsidRPr="00A22E34" w14:paraId="76E3D2DF" w14:textId="77777777" w:rsidTr="00501EE9">
        <w:trPr>
          <w:jc w:val="center"/>
        </w:trPr>
        <w:tc>
          <w:tcPr>
            <w:tcW w:w="7372" w:type="dxa"/>
          </w:tcPr>
          <w:p w14:paraId="0282CDD2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patients requiring a catheter adjustment, n (%)</w:t>
            </w:r>
          </w:p>
        </w:tc>
        <w:tc>
          <w:tcPr>
            <w:tcW w:w="1795" w:type="dxa"/>
          </w:tcPr>
          <w:p w14:paraId="6F1E9FE4" w14:textId="3C5A1CC6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8 (12)</w:t>
            </w:r>
          </w:p>
        </w:tc>
        <w:tc>
          <w:tcPr>
            <w:tcW w:w="1607" w:type="dxa"/>
          </w:tcPr>
          <w:p w14:paraId="04E8ED4A" w14:textId="2D6C4683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9 (1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</w:tc>
      </w:tr>
      <w:tr w:rsidR="00A22E34" w:rsidRPr="00A22E34" w14:paraId="44AEAF69" w14:textId="77777777" w:rsidTr="00501EE9">
        <w:trPr>
          <w:jc w:val="center"/>
        </w:trPr>
        <w:tc>
          <w:tcPr>
            <w:tcW w:w="7372" w:type="dxa"/>
          </w:tcPr>
          <w:p w14:paraId="1D1DAE8C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patients requiring a catheter replacement, n (%)</w:t>
            </w:r>
          </w:p>
        </w:tc>
        <w:tc>
          <w:tcPr>
            <w:tcW w:w="1795" w:type="dxa"/>
          </w:tcPr>
          <w:p w14:paraId="16BDFC51" w14:textId="5D36E005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3 (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5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</w:tc>
        <w:tc>
          <w:tcPr>
            <w:tcW w:w="1607" w:type="dxa"/>
          </w:tcPr>
          <w:p w14:paraId="11855F88" w14:textId="5070D56E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5 (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8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</w:tc>
      </w:tr>
      <w:tr w:rsidR="00A22E34" w:rsidRPr="00A22E34" w14:paraId="308545F1" w14:textId="77777777" w:rsidTr="00501EE9">
        <w:trPr>
          <w:jc w:val="center"/>
        </w:trPr>
        <w:tc>
          <w:tcPr>
            <w:tcW w:w="7372" w:type="dxa"/>
          </w:tcPr>
          <w:p w14:paraId="7C8C2229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failed conversions to regional anesthesia for cesarean delivery, n (%)</w:t>
            </w:r>
          </w:p>
        </w:tc>
        <w:tc>
          <w:tcPr>
            <w:tcW w:w="1795" w:type="dxa"/>
          </w:tcPr>
          <w:p w14:paraId="270788FD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2 (3)</w:t>
            </w:r>
          </w:p>
        </w:tc>
        <w:tc>
          <w:tcPr>
            <w:tcW w:w="1607" w:type="dxa"/>
          </w:tcPr>
          <w:p w14:paraId="671F22C1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2 (3)</w:t>
            </w:r>
          </w:p>
        </w:tc>
      </w:tr>
      <w:tr w:rsidR="00A22E34" w:rsidRPr="00A22E34" w14:paraId="45E918FB" w14:textId="77777777" w:rsidTr="00501EE9">
        <w:trPr>
          <w:jc w:val="center"/>
        </w:trPr>
        <w:tc>
          <w:tcPr>
            <w:tcW w:w="7372" w:type="dxa"/>
          </w:tcPr>
          <w:p w14:paraId="03D903C0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color w:val="000000" w:themeColor="text1"/>
                <w:lang w:val="en-US"/>
              </w:rPr>
              <w:t>Composite outcome without inclusion of epidural top-ups, n (%)</w:t>
            </w:r>
          </w:p>
        </w:tc>
        <w:tc>
          <w:tcPr>
            <w:tcW w:w="1795" w:type="dxa"/>
          </w:tcPr>
          <w:p w14:paraId="37717E05" w14:textId="30AB63C0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20 (30)</w:t>
            </w:r>
          </w:p>
        </w:tc>
        <w:tc>
          <w:tcPr>
            <w:tcW w:w="1607" w:type="dxa"/>
          </w:tcPr>
          <w:p w14:paraId="17FC522C" w14:textId="2F869F9C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17 (2</w:t>
            </w:r>
            <w:r w:rsidR="00883206">
              <w:rPr>
                <w:rFonts w:ascii="Calibri" w:hAnsi="Calibri" w:cs="Calibri"/>
                <w:bCs/>
                <w:color w:val="000000" w:themeColor="text1"/>
                <w:lang w:val="en-US"/>
              </w:rPr>
              <w:t>6</w:t>
            </w:r>
            <w:r w:rsidRPr="00A22E34">
              <w:rPr>
                <w:rFonts w:ascii="Calibri" w:hAnsi="Calibri" w:cs="Calibri"/>
                <w:bCs/>
                <w:color w:val="000000" w:themeColor="text1"/>
                <w:lang w:val="en-US"/>
              </w:rPr>
              <w:t>)</w:t>
            </w:r>
          </w:p>
        </w:tc>
      </w:tr>
      <w:tr w:rsidR="00A22E34" w:rsidRPr="00A22E34" w14:paraId="2C88D861" w14:textId="77777777" w:rsidTr="00501EE9">
        <w:trPr>
          <w:jc w:val="center"/>
        </w:trPr>
        <w:tc>
          <w:tcPr>
            <w:tcW w:w="7372" w:type="dxa"/>
          </w:tcPr>
          <w:p w14:paraId="1A703B77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b/>
                <w:color w:val="000000" w:themeColor="text1"/>
                <w:lang w:val="en-US"/>
              </w:rPr>
              <w:t>Further Breakdown of individual components of the primary outcome</w:t>
            </w:r>
          </w:p>
        </w:tc>
        <w:tc>
          <w:tcPr>
            <w:tcW w:w="1795" w:type="dxa"/>
          </w:tcPr>
          <w:p w14:paraId="5EA5F562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</w:p>
        </w:tc>
        <w:tc>
          <w:tcPr>
            <w:tcW w:w="1607" w:type="dxa"/>
          </w:tcPr>
          <w:p w14:paraId="1FC39070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</w:p>
        </w:tc>
      </w:tr>
      <w:tr w:rsidR="00A22E34" w:rsidRPr="00A22E34" w14:paraId="48D10422" w14:textId="77777777" w:rsidTr="00501EE9">
        <w:trPr>
          <w:jc w:val="center"/>
        </w:trPr>
        <w:tc>
          <w:tcPr>
            <w:tcW w:w="7372" w:type="dxa"/>
          </w:tcPr>
          <w:p w14:paraId="18E1C3DA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epidural top ups required among patients who received epidural top-ups, median [IQR]</w:t>
            </w:r>
          </w:p>
        </w:tc>
        <w:tc>
          <w:tcPr>
            <w:tcW w:w="1795" w:type="dxa"/>
          </w:tcPr>
          <w:p w14:paraId="28234808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[1, 2]</w:t>
            </w:r>
          </w:p>
        </w:tc>
        <w:tc>
          <w:tcPr>
            <w:tcW w:w="1607" w:type="dxa"/>
          </w:tcPr>
          <w:p w14:paraId="6C8F1978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[1, 3]</w:t>
            </w:r>
          </w:p>
        </w:tc>
      </w:tr>
      <w:tr w:rsidR="00A22E34" w:rsidRPr="00A22E34" w14:paraId="76AF8C49" w14:textId="77777777" w:rsidTr="00501EE9">
        <w:trPr>
          <w:jc w:val="center"/>
        </w:trPr>
        <w:tc>
          <w:tcPr>
            <w:tcW w:w="7372" w:type="dxa"/>
          </w:tcPr>
          <w:p w14:paraId="159869CA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catheter adjustments among patients who needed catheter adjustments, median [IQR]</w:t>
            </w:r>
          </w:p>
        </w:tc>
        <w:tc>
          <w:tcPr>
            <w:tcW w:w="1795" w:type="dxa"/>
          </w:tcPr>
          <w:p w14:paraId="131F3145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[1, 1]</w:t>
            </w:r>
          </w:p>
        </w:tc>
        <w:tc>
          <w:tcPr>
            <w:tcW w:w="1607" w:type="dxa"/>
          </w:tcPr>
          <w:p w14:paraId="2EB1D11A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[1, 1]</w:t>
            </w:r>
          </w:p>
        </w:tc>
      </w:tr>
      <w:tr w:rsidR="00A22E34" w:rsidRPr="00A22E34" w14:paraId="19B084A1" w14:textId="77777777" w:rsidTr="00501EE9">
        <w:trPr>
          <w:jc w:val="center"/>
        </w:trPr>
        <w:tc>
          <w:tcPr>
            <w:tcW w:w="7372" w:type="dxa"/>
          </w:tcPr>
          <w:p w14:paraId="47A5D56A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conversions to general anesthesia for cesarean delivery without epidural top-ups or asymmetric block, n (%)</w:t>
            </w:r>
          </w:p>
        </w:tc>
        <w:tc>
          <w:tcPr>
            <w:tcW w:w="1795" w:type="dxa"/>
          </w:tcPr>
          <w:p w14:paraId="3FF917F4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(1.5)</w:t>
            </w:r>
          </w:p>
        </w:tc>
        <w:tc>
          <w:tcPr>
            <w:tcW w:w="1607" w:type="dxa"/>
          </w:tcPr>
          <w:p w14:paraId="5218BA51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(1.5)</w:t>
            </w:r>
          </w:p>
        </w:tc>
      </w:tr>
      <w:tr w:rsidR="00A22E34" w:rsidRPr="00A22E34" w14:paraId="60662AD0" w14:textId="77777777" w:rsidTr="00501EE9">
        <w:trPr>
          <w:jc w:val="center"/>
        </w:trPr>
        <w:tc>
          <w:tcPr>
            <w:tcW w:w="7372" w:type="dxa"/>
          </w:tcPr>
          <w:p w14:paraId="23DCC7BE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individual components within the composite outcome, median [IQR]</w:t>
            </w:r>
          </w:p>
        </w:tc>
        <w:tc>
          <w:tcPr>
            <w:tcW w:w="1795" w:type="dxa"/>
          </w:tcPr>
          <w:p w14:paraId="67E780CA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 [0, 1]</w:t>
            </w:r>
          </w:p>
        </w:tc>
        <w:tc>
          <w:tcPr>
            <w:tcW w:w="1607" w:type="dxa"/>
          </w:tcPr>
          <w:p w14:paraId="3744AB23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0 [0, 1]</w:t>
            </w:r>
          </w:p>
        </w:tc>
      </w:tr>
      <w:tr w:rsidR="00C57981" w:rsidRPr="00A22E34" w14:paraId="4B1CE639" w14:textId="77777777" w:rsidTr="00501EE9">
        <w:trPr>
          <w:jc w:val="center"/>
        </w:trPr>
        <w:tc>
          <w:tcPr>
            <w:tcW w:w="7372" w:type="dxa"/>
          </w:tcPr>
          <w:p w14:paraId="4A856A3E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Number of individual components within the composite outcome, n (%)</w:t>
            </w:r>
          </w:p>
          <w:p w14:paraId="7B49AFF3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 xml:space="preserve">   0</w:t>
            </w:r>
          </w:p>
          <w:p w14:paraId="54EFFEE7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 xml:space="preserve">   1</w:t>
            </w:r>
          </w:p>
          <w:p w14:paraId="1612C70D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 xml:space="preserve">   2</w:t>
            </w:r>
          </w:p>
          <w:p w14:paraId="696AFD1C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 xml:space="preserve">   3</w:t>
            </w:r>
          </w:p>
          <w:p w14:paraId="487D0EA3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 xml:space="preserve">   4</w:t>
            </w:r>
          </w:p>
        </w:tc>
        <w:tc>
          <w:tcPr>
            <w:tcW w:w="1795" w:type="dxa"/>
          </w:tcPr>
          <w:p w14:paraId="00A75989" w14:textId="77777777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2F2299D6" w14:textId="5E086B84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32 (4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9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  <w:p w14:paraId="5D748201" w14:textId="2C413661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21 (3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  <w:p w14:paraId="59AC4ED8" w14:textId="615FEBBD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7 (1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  <w:p w14:paraId="42599AF9" w14:textId="3C2CDDA3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6 (9)</w:t>
            </w:r>
          </w:p>
          <w:p w14:paraId="029B0885" w14:textId="247117B4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0 (0)</w:t>
            </w:r>
          </w:p>
        </w:tc>
        <w:tc>
          <w:tcPr>
            <w:tcW w:w="1607" w:type="dxa"/>
          </w:tcPr>
          <w:p w14:paraId="10A2836D" w14:textId="77777777" w:rsidR="00C57981" w:rsidRPr="00A22E34" w:rsidRDefault="00C57981" w:rsidP="00501EE9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4598AD6A" w14:textId="3B8545D5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34 (5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  <w:p w14:paraId="0D418A90" w14:textId="32A23470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17 (2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6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  <w:p w14:paraId="266D5BA1" w14:textId="30C74F86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4 (6)</w:t>
            </w:r>
          </w:p>
          <w:p w14:paraId="4C60F47F" w14:textId="620FDA99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9 (1</w:t>
            </w:r>
            <w:r w:rsidR="00883206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)</w:t>
            </w:r>
          </w:p>
          <w:p w14:paraId="3E909124" w14:textId="21BA2C3E" w:rsidR="00C57981" w:rsidRPr="00A22E34" w:rsidRDefault="00C57981" w:rsidP="00501EE9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22E34">
              <w:rPr>
                <w:rFonts w:ascii="Calibri" w:hAnsi="Calibri" w:cs="Calibri"/>
                <w:color w:val="000000" w:themeColor="text1"/>
                <w:lang w:val="en-US"/>
              </w:rPr>
              <w:t>2 (3)</w:t>
            </w:r>
          </w:p>
        </w:tc>
      </w:tr>
    </w:tbl>
    <w:p w14:paraId="2EB8F1E0" w14:textId="77777777" w:rsidR="00C57981" w:rsidRPr="00A22E34" w:rsidRDefault="00C57981" w:rsidP="00C57981">
      <w:pPr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823D7B3" w14:textId="1BC2E777" w:rsidR="00C57981" w:rsidRPr="00A22E34" w:rsidRDefault="00C57981" w:rsidP="00C57981">
      <w:pPr>
        <w:rPr>
          <w:rFonts w:ascii="Calibri" w:hAnsi="Calibri" w:cs="Calibri"/>
          <w:color w:val="000000" w:themeColor="text1"/>
          <w:lang w:val="en-US"/>
        </w:rPr>
      </w:pPr>
      <w:r w:rsidRPr="00A22E34">
        <w:rPr>
          <w:rFonts w:ascii="Calibri" w:hAnsi="Calibri" w:cs="Calibri"/>
          <w:color w:val="000000" w:themeColor="text1"/>
          <w:vertAlign w:val="superscript"/>
          <w:lang w:val="en-US"/>
        </w:rPr>
        <w:t>a</w:t>
      </w:r>
      <w:r w:rsidRPr="00A22E34">
        <w:rPr>
          <w:rFonts w:ascii="Calibri" w:hAnsi="Calibri" w:cs="Calibri"/>
          <w:color w:val="000000" w:themeColor="text1"/>
          <w:lang w:val="en-US"/>
        </w:rPr>
        <w:t xml:space="preserve"> Five (</w:t>
      </w:r>
      <w:r w:rsidR="00883206">
        <w:rPr>
          <w:rFonts w:ascii="Calibri" w:hAnsi="Calibri" w:cs="Calibri"/>
          <w:color w:val="000000" w:themeColor="text1"/>
          <w:lang w:val="en-US"/>
        </w:rPr>
        <w:t>8</w:t>
      </w:r>
      <w:r w:rsidRPr="00A22E34">
        <w:rPr>
          <w:rFonts w:ascii="Calibri" w:hAnsi="Calibri" w:cs="Calibri"/>
          <w:color w:val="000000" w:themeColor="text1"/>
          <w:lang w:val="en-US"/>
        </w:rPr>
        <w:t xml:space="preserve">%) parturients in the </w:t>
      </w:r>
      <w:proofErr w:type="spellStart"/>
      <w:r w:rsidRPr="00A22E34">
        <w:rPr>
          <w:rFonts w:ascii="Calibri" w:hAnsi="Calibri" w:cs="Calibri"/>
          <w:color w:val="000000" w:themeColor="text1"/>
          <w:lang w:val="en-US"/>
        </w:rPr>
        <w:t>dural</w:t>
      </w:r>
      <w:proofErr w:type="spellEnd"/>
      <w:r w:rsidRPr="00A22E34">
        <w:rPr>
          <w:rFonts w:ascii="Calibri" w:hAnsi="Calibri" w:cs="Calibri"/>
          <w:color w:val="000000" w:themeColor="text1"/>
          <w:lang w:val="en-US"/>
        </w:rPr>
        <w:t xml:space="preserve"> puncture epidural group and one (</w:t>
      </w:r>
      <w:r w:rsidR="00883206">
        <w:rPr>
          <w:rFonts w:ascii="Calibri" w:hAnsi="Calibri" w:cs="Calibri"/>
          <w:color w:val="000000" w:themeColor="text1"/>
          <w:lang w:val="en-US"/>
        </w:rPr>
        <w:t>2</w:t>
      </w:r>
      <w:r w:rsidRPr="00A22E34">
        <w:rPr>
          <w:rFonts w:ascii="Calibri" w:hAnsi="Calibri" w:cs="Calibri"/>
          <w:color w:val="000000" w:themeColor="text1"/>
          <w:lang w:val="en-US"/>
        </w:rPr>
        <w:t>%) parturient in the standard epidural group had asymmetric block without the presence of other components of the composite outcome.</w:t>
      </w:r>
    </w:p>
    <w:p w14:paraId="62169FC7" w14:textId="77777777" w:rsidR="00C57981" w:rsidRPr="00A22E34" w:rsidRDefault="00C57981" w:rsidP="00C57981">
      <w:pPr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8FC8683" w14:textId="77777777" w:rsidR="00C57981" w:rsidRPr="00A22E34" w:rsidRDefault="00C57981" w:rsidP="00C57981">
      <w:pPr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4C42F675" w14:textId="2DA33B42" w:rsidR="002A7473" w:rsidRPr="00A22E34" w:rsidRDefault="002A7473" w:rsidP="00C57981">
      <w:pPr>
        <w:spacing w:line="480" w:lineRule="auto"/>
        <w:rPr>
          <w:rFonts w:ascii="Calibri" w:hAnsi="Calibri" w:cs="Calibri"/>
          <w:color w:val="000000" w:themeColor="text1"/>
          <w:lang w:val="en-US"/>
        </w:rPr>
      </w:pPr>
    </w:p>
    <w:sectPr w:rsidR="002A7473" w:rsidRPr="00A22E34" w:rsidSect="00E45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81"/>
    <w:rsid w:val="000031CA"/>
    <w:rsid w:val="00012D29"/>
    <w:rsid w:val="00013AD0"/>
    <w:rsid w:val="00014A78"/>
    <w:rsid w:val="00016C11"/>
    <w:rsid w:val="00017155"/>
    <w:rsid w:val="00023430"/>
    <w:rsid w:val="0003245A"/>
    <w:rsid w:val="00032946"/>
    <w:rsid w:val="00035D3B"/>
    <w:rsid w:val="00037FF6"/>
    <w:rsid w:val="00045A5F"/>
    <w:rsid w:val="000524A1"/>
    <w:rsid w:val="00054748"/>
    <w:rsid w:val="00066333"/>
    <w:rsid w:val="00066A75"/>
    <w:rsid w:val="00066C8A"/>
    <w:rsid w:val="0006791E"/>
    <w:rsid w:val="00072366"/>
    <w:rsid w:val="000747C4"/>
    <w:rsid w:val="0007757C"/>
    <w:rsid w:val="00077AE0"/>
    <w:rsid w:val="00090C6B"/>
    <w:rsid w:val="00097C07"/>
    <w:rsid w:val="00097E28"/>
    <w:rsid w:val="000A1674"/>
    <w:rsid w:val="000A4BBE"/>
    <w:rsid w:val="000B5ED1"/>
    <w:rsid w:val="000D7D4F"/>
    <w:rsid w:val="000F3DBD"/>
    <w:rsid w:val="000F47F4"/>
    <w:rsid w:val="001036C5"/>
    <w:rsid w:val="00106924"/>
    <w:rsid w:val="001113E3"/>
    <w:rsid w:val="0011445F"/>
    <w:rsid w:val="00120407"/>
    <w:rsid w:val="001237B1"/>
    <w:rsid w:val="0012437F"/>
    <w:rsid w:val="001274D4"/>
    <w:rsid w:val="00135E46"/>
    <w:rsid w:val="00143D4F"/>
    <w:rsid w:val="00144ACE"/>
    <w:rsid w:val="00151D41"/>
    <w:rsid w:val="00155481"/>
    <w:rsid w:val="0016181B"/>
    <w:rsid w:val="00161ED0"/>
    <w:rsid w:val="001671E2"/>
    <w:rsid w:val="0018183D"/>
    <w:rsid w:val="00184693"/>
    <w:rsid w:val="0018547D"/>
    <w:rsid w:val="00186B72"/>
    <w:rsid w:val="00190009"/>
    <w:rsid w:val="00192195"/>
    <w:rsid w:val="00192C53"/>
    <w:rsid w:val="001A14A3"/>
    <w:rsid w:val="001A69DB"/>
    <w:rsid w:val="001B0145"/>
    <w:rsid w:val="001B0A31"/>
    <w:rsid w:val="001B6882"/>
    <w:rsid w:val="001C3D7A"/>
    <w:rsid w:val="001C3E0C"/>
    <w:rsid w:val="001C749C"/>
    <w:rsid w:val="001D5F09"/>
    <w:rsid w:val="001D73FC"/>
    <w:rsid w:val="001E37A0"/>
    <w:rsid w:val="001E4896"/>
    <w:rsid w:val="001E7421"/>
    <w:rsid w:val="001F4862"/>
    <w:rsid w:val="00200759"/>
    <w:rsid w:val="002017A3"/>
    <w:rsid w:val="00203AB7"/>
    <w:rsid w:val="00204783"/>
    <w:rsid w:val="00205439"/>
    <w:rsid w:val="00206732"/>
    <w:rsid w:val="00222633"/>
    <w:rsid w:val="00225786"/>
    <w:rsid w:val="00236451"/>
    <w:rsid w:val="0023702A"/>
    <w:rsid w:val="00250C8C"/>
    <w:rsid w:val="0025144E"/>
    <w:rsid w:val="0025332B"/>
    <w:rsid w:val="002607AE"/>
    <w:rsid w:val="00263957"/>
    <w:rsid w:val="00264990"/>
    <w:rsid w:val="00271451"/>
    <w:rsid w:val="00275E24"/>
    <w:rsid w:val="00276696"/>
    <w:rsid w:val="00277FBA"/>
    <w:rsid w:val="00282BE6"/>
    <w:rsid w:val="002835E1"/>
    <w:rsid w:val="00292722"/>
    <w:rsid w:val="00292881"/>
    <w:rsid w:val="00292F3F"/>
    <w:rsid w:val="00293BA5"/>
    <w:rsid w:val="002A098A"/>
    <w:rsid w:val="002A3B91"/>
    <w:rsid w:val="002A6C3F"/>
    <w:rsid w:val="002A6C65"/>
    <w:rsid w:val="002A7473"/>
    <w:rsid w:val="002B2F8F"/>
    <w:rsid w:val="002B4604"/>
    <w:rsid w:val="002B6C73"/>
    <w:rsid w:val="002C2A7B"/>
    <w:rsid w:val="002C61F8"/>
    <w:rsid w:val="002D0223"/>
    <w:rsid w:val="002D22CF"/>
    <w:rsid w:val="002D4848"/>
    <w:rsid w:val="002E4CF3"/>
    <w:rsid w:val="002E5FE1"/>
    <w:rsid w:val="002F4A9C"/>
    <w:rsid w:val="00301FF0"/>
    <w:rsid w:val="00304B06"/>
    <w:rsid w:val="003139D0"/>
    <w:rsid w:val="00315309"/>
    <w:rsid w:val="0032189A"/>
    <w:rsid w:val="00323CC8"/>
    <w:rsid w:val="003254FF"/>
    <w:rsid w:val="00327077"/>
    <w:rsid w:val="00331400"/>
    <w:rsid w:val="00331639"/>
    <w:rsid w:val="003351C0"/>
    <w:rsid w:val="0034428B"/>
    <w:rsid w:val="00344917"/>
    <w:rsid w:val="003575C2"/>
    <w:rsid w:val="00357AA0"/>
    <w:rsid w:val="003610D8"/>
    <w:rsid w:val="003659B8"/>
    <w:rsid w:val="003709F5"/>
    <w:rsid w:val="003733BB"/>
    <w:rsid w:val="00374BF1"/>
    <w:rsid w:val="00375A09"/>
    <w:rsid w:val="00386499"/>
    <w:rsid w:val="00386776"/>
    <w:rsid w:val="003923E1"/>
    <w:rsid w:val="003947A8"/>
    <w:rsid w:val="003952A1"/>
    <w:rsid w:val="003A14F7"/>
    <w:rsid w:val="003A2912"/>
    <w:rsid w:val="003A491E"/>
    <w:rsid w:val="003A52BD"/>
    <w:rsid w:val="003B0081"/>
    <w:rsid w:val="003E35CB"/>
    <w:rsid w:val="003E3AF7"/>
    <w:rsid w:val="003F50B8"/>
    <w:rsid w:val="003F72A0"/>
    <w:rsid w:val="003F7CCF"/>
    <w:rsid w:val="0040287A"/>
    <w:rsid w:val="00406768"/>
    <w:rsid w:val="00407B46"/>
    <w:rsid w:val="00414E9B"/>
    <w:rsid w:val="00415790"/>
    <w:rsid w:val="004238C8"/>
    <w:rsid w:val="004263DC"/>
    <w:rsid w:val="004367F2"/>
    <w:rsid w:val="00444090"/>
    <w:rsid w:val="004454DF"/>
    <w:rsid w:val="00446148"/>
    <w:rsid w:val="0045477F"/>
    <w:rsid w:val="004561BE"/>
    <w:rsid w:val="00461E77"/>
    <w:rsid w:val="00471841"/>
    <w:rsid w:val="00486648"/>
    <w:rsid w:val="00492BEB"/>
    <w:rsid w:val="00496D63"/>
    <w:rsid w:val="004A2AFD"/>
    <w:rsid w:val="004B3473"/>
    <w:rsid w:val="004C205B"/>
    <w:rsid w:val="004C6299"/>
    <w:rsid w:val="004E0D98"/>
    <w:rsid w:val="004E36DC"/>
    <w:rsid w:val="004E7C96"/>
    <w:rsid w:val="004F34C4"/>
    <w:rsid w:val="004F3AC0"/>
    <w:rsid w:val="00502284"/>
    <w:rsid w:val="0050499D"/>
    <w:rsid w:val="0050757F"/>
    <w:rsid w:val="00521B5E"/>
    <w:rsid w:val="00524821"/>
    <w:rsid w:val="00531C01"/>
    <w:rsid w:val="0053324E"/>
    <w:rsid w:val="00550838"/>
    <w:rsid w:val="0055125F"/>
    <w:rsid w:val="005512F2"/>
    <w:rsid w:val="0055180E"/>
    <w:rsid w:val="00553879"/>
    <w:rsid w:val="0055428E"/>
    <w:rsid w:val="00567899"/>
    <w:rsid w:val="00567D05"/>
    <w:rsid w:val="00567DC5"/>
    <w:rsid w:val="0057235A"/>
    <w:rsid w:val="005733DB"/>
    <w:rsid w:val="00574226"/>
    <w:rsid w:val="0058410A"/>
    <w:rsid w:val="005860DB"/>
    <w:rsid w:val="005923A8"/>
    <w:rsid w:val="005A157C"/>
    <w:rsid w:val="005A3047"/>
    <w:rsid w:val="005A42F8"/>
    <w:rsid w:val="005A4D34"/>
    <w:rsid w:val="005A7345"/>
    <w:rsid w:val="005D13B2"/>
    <w:rsid w:val="005D35C2"/>
    <w:rsid w:val="005D6B51"/>
    <w:rsid w:val="005E0F51"/>
    <w:rsid w:val="005E11EF"/>
    <w:rsid w:val="005E2E05"/>
    <w:rsid w:val="005E483E"/>
    <w:rsid w:val="005E62AF"/>
    <w:rsid w:val="005F27FB"/>
    <w:rsid w:val="005F4927"/>
    <w:rsid w:val="006018F8"/>
    <w:rsid w:val="00612DD2"/>
    <w:rsid w:val="00613A0A"/>
    <w:rsid w:val="0061492A"/>
    <w:rsid w:val="006162F1"/>
    <w:rsid w:val="006203CE"/>
    <w:rsid w:val="00623540"/>
    <w:rsid w:val="006278BA"/>
    <w:rsid w:val="00633402"/>
    <w:rsid w:val="0063526E"/>
    <w:rsid w:val="00641607"/>
    <w:rsid w:val="00643150"/>
    <w:rsid w:val="006508FE"/>
    <w:rsid w:val="00652307"/>
    <w:rsid w:val="00652800"/>
    <w:rsid w:val="006530DF"/>
    <w:rsid w:val="006601D9"/>
    <w:rsid w:val="00663930"/>
    <w:rsid w:val="00663CEF"/>
    <w:rsid w:val="00664479"/>
    <w:rsid w:val="00664EDF"/>
    <w:rsid w:val="006743BE"/>
    <w:rsid w:val="00677AA6"/>
    <w:rsid w:val="00680D5C"/>
    <w:rsid w:val="006836AA"/>
    <w:rsid w:val="00690474"/>
    <w:rsid w:val="006905DF"/>
    <w:rsid w:val="00691165"/>
    <w:rsid w:val="0069788E"/>
    <w:rsid w:val="00697F17"/>
    <w:rsid w:val="006A05C8"/>
    <w:rsid w:val="006A1422"/>
    <w:rsid w:val="006A3134"/>
    <w:rsid w:val="006B4CAD"/>
    <w:rsid w:val="006B56C6"/>
    <w:rsid w:val="006C24B9"/>
    <w:rsid w:val="006C4DE8"/>
    <w:rsid w:val="006C63B4"/>
    <w:rsid w:val="006D2D81"/>
    <w:rsid w:val="006E19B0"/>
    <w:rsid w:val="006E3FC9"/>
    <w:rsid w:val="006E4324"/>
    <w:rsid w:val="006E5EFA"/>
    <w:rsid w:val="006F0E00"/>
    <w:rsid w:val="0070319C"/>
    <w:rsid w:val="007034CD"/>
    <w:rsid w:val="00706A5D"/>
    <w:rsid w:val="00711317"/>
    <w:rsid w:val="00711D7E"/>
    <w:rsid w:val="007131FF"/>
    <w:rsid w:val="00714F60"/>
    <w:rsid w:val="00727758"/>
    <w:rsid w:val="00741DEA"/>
    <w:rsid w:val="00742740"/>
    <w:rsid w:val="007507F2"/>
    <w:rsid w:val="00750902"/>
    <w:rsid w:val="00754B7A"/>
    <w:rsid w:val="00756DCA"/>
    <w:rsid w:val="00762AC0"/>
    <w:rsid w:val="00764791"/>
    <w:rsid w:val="00765CD3"/>
    <w:rsid w:val="007677E9"/>
    <w:rsid w:val="00772762"/>
    <w:rsid w:val="00773A7C"/>
    <w:rsid w:val="00776279"/>
    <w:rsid w:val="00780AA4"/>
    <w:rsid w:val="007813D9"/>
    <w:rsid w:val="00783AF2"/>
    <w:rsid w:val="0079058A"/>
    <w:rsid w:val="00794B4C"/>
    <w:rsid w:val="00795DFF"/>
    <w:rsid w:val="007A1609"/>
    <w:rsid w:val="007A35F1"/>
    <w:rsid w:val="007B0520"/>
    <w:rsid w:val="007B22CA"/>
    <w:rsid w:val="007B35CB"/>
    <w:rsid w:val="007B6D65"/>
    <w:rsid w:val="007D06BA"/>
    <w:rsid w:val="007D09A8"/>
    <w:rsid w:val="007D76C9"/>
    <w:rsid w:val="007E1E56"/>
    <w:rsid w:val="007E25B5"/>
    <w:rsid w:val="007E41A8"/>
    <w:rsid w:val="007F669F"/>
    <w:rsid w:val="007F76C4"/>
    <w:rsid w:val="008012F2"/>
    <w:rsid w:val="00806E20"/>
    <w:rsid w:val="008072AE"/>
    <w:rsid w:val="008116C5"/>
    <w:rsid w:val="00814D12"/>
    <w:rsid w:val="00815AE6"/>
    <w:rsid w:val="0082156C"/>
    <w:rsid w:val="00827165"/>
    <w:rsid w:val="00832382"/>
    <w:rsid w:val="008332AE"/>
    <w:rsid w:val="00833345"/>
    <w:rsid w:val="00834B41"/>
    <w:rsid w:val="008370FC"/>
    <w:rsid w:val="00843531"/>
    <w:rsid w:val="00850CDF"/>
    <w:rsid w:val="00852635"/>
    <w:rsid w:val="00853267"/>
    <w:rsid w:val="008569E2"/>
    <w:rsid w:val="008713AB"/>
    <w:rsid w:val="0087676C"/>
    <w:rsid w:val="00877199"/>
    <w:rsid w:val="00883206"/>
    <w:rsid w:val="0088596F"/>
    <w:rsid w:val="00890553"/>
    <w:rsid w:val="008A6805"/>
    <w:rsid w:val="008A6915"/>
    <w:rsid w:val="008C2199"/>
    <w:rsid w:val="008D07F5"/>
    <w:rsid w:val="008D10FC"/>
    <w:rsid w:val="008D247C"/>
    <w:rsid w:val="008D2B8F"/>
    <w:rsid w:val="008E2611"/>
    <w:rsid w:val="008E79F2"/>
    <w:rsid w:val="008F136F"/>
    <w:rsid w:val="008F1B6E"/>
    <w:rsid w:val="008F5C1C"/>
    <w:rsid w:val="00902573"/>
    <w:rsid w:val="00903D84"/>
    <w:rsid w:val="0090405D"/>
    <w:rsid w:val="00913D64"/>
    <w:rsid w:val="009171F9"/>
    <w:rsid w:val="009275B5"/>
    <w:rsid w:val="00927FB9"/>
    <w:rsid w:val="00936AD4"/>
    <w:rsid w:val="00940D11"/>
    <w:rsid w:val="00951369"/>
    <w:rsid w:val="00955F0C"/>
    <w:rsid w:val="00960B18"/>
    <w:rsid w:val="00964D12"/>
    <w:rsid w:val="00965887"/>
    <w:rsid w:val="0097235F"/>
    <w:rsid w:val="00972CBF"/>
    <w:rsid w:val="009740BA"/>
    <w:rsid w:val="00976B25"/>
    <w:rsid w:val="00977361"/>
    <w:rsid w:val="00980038"/>
    <w:rsid w:val="00991D4B"/>
    <w:rsid w:val="009A43E3"/>
    <w:rsid w:val="009A550E"/>
    <w:rsid w:val="009A5799"/>
    <w:rsid w:val="009A5D93"/>
    <w:rsid w:val="009B2EA0"/>
    <w:rsid w:val="009B327B"/>
    <w:rsid w:val="009B74B4"/>
    <w:rsid w:val="009C04E1"/>
    <w:rsid w:val="009C2237"/>
    <w:rsid w:val="009C74B8"/>
    <w:rsid w:val="009D2092"/>
    <w:rsid w:val="009D76F3"/>
    <w:rsid w:val="009E0401"/>
    <w:rsid w:val="009E618B"/>
    <w:rsid w:val="009E624E"/>
    <w:rsid w:val="009E64E7"/>
    <w:rsid w:val="009E7C59"/>
    <w:rsid w:val="00A02443"/>
    <w:rsid w:val="00A062C9"/>
    <w:rsid w:val="00A11A5A"/>
    <w:rsid w:val="00A14D94"/>
    <w:rsid w:val="00A22E34"/>
    <w:rsid w:val="00A23ABE"/>
    <w:rsid w:val="00A24A4B"/>
    <w:rsid w:val="00A33765"/>
    <w:rsid w:val="00A3501E"/>
    <w:rsid w:val="00A36853"/>
    <w:rsid w:val="00A4180D"/>
    <w:rsid w:val="00A45C31"/>
    <w:rsid w:val="00A46EAD"/>
    <w:rsid w:val="00A65B21"/>
    <w:rsid w:val="00A77C0C"/>
    <w:rsid w:val="00A821F7"/>
    <w:rsid w:val="00A84EFB"/>
    <w:rsid w:val="00A9035A"/>
    <w:rsid w:val="00A90F99"/>
    <w:rsid w:val="00A942AC"/>
    <w:rsid w:val="00AA1423"/>
    <w:rsid w:val="00AA4FA8"/>
    <w:rsid w:val="00AB3C72"/>
    <w:rsid w:val="00AB4229"/>
    <w:rsid w:val="00AB4718"/>
    <w:rsid w:val="00AC15B2"/>
    <w:rsid w:val="00AC314B"/>
    <w:rsid w:val="00AC4B2C"/>
    <w:rsid w:val="00AD7B40"/>
    <w:rsid w:val="00AE3AAC"/>
    <w:rsid w:val="00AE6E3C"/>
    <w:rsid w:val="00AF2047"/>
    <w:rsid w:val="00AF208D"/>
    <w:rsid w:val="00AF3AAB"/>
    <w:rsid w:val="00AF62CE"/>
    <w:rsid w:val="00AF731A"/>
    <w:rsid w:val="00B006ED"/>
    <w:rsid w:val="00B0096B"/>
    <w:rsid w:val="00B1724B"/>
    <w:rsid w:val="00B20EE9"/>
    <w:rsid w:val="00B22427"/>
    <w:rsid w:val="00B25651"/>
    <w:rsid w:val="00B315EC"/>
    <w:rsid w:val="00B3411A"/>
    <w:rsid w:val="00B4003E"/>
    <w:rsid w:val="00B4308C"/>
    <w:rsid w:val="00B44984"/>
    <w:rsid w:val="00B60110"/>
    <w:rsid w:val="00B6107E"/>
    <w:rsid w:val="00B62F57"/>
    <w:rsid w:val="00B65D44"/>
    <w:rsid w:val="00B677E8"/>
    <w:rsid w:val="00B67DDA"/>
    <w:rsid w:val="00B7043F"/>
    <w:rsid w:val="00B7164A"/>
    <w:rsid w:val="00B81A55"/>
    <w:rsid w:val="00B825C4"/>
    <w:rsid w:val="00B82C42"/>
    <w:rsid w:val="00B90953"/>
    <w:rsid w:val="00BA5619"/>
    <w:rsid w:val="00BA7227"/>
    <w:rsid w:val="00BB4423"/>
    <w:rsid w:val="00BB56C7"/>
    <w:rsid w:val="00BD3292"/>
    <w:rsid w:val="00BD6587"/>
    <w:rsid w:val="00BE0FA6"/>
    <w:rsid w:val="00BE2B42"/>
    <w:rsid w:val="00BF27BA"/>
    <w:rsid w:val="00BF417C"/>
    <w:rsid w:val="00BF41DA"/>
    <w:rsid w:val="00C029C9"/>
    <w:rsid w:val="00C166AE"/>
    <w:rsid w:val="00C30B4B"/>
    <w:rsid w:val="00C46D82"/>
    <w:rsid w:val="00C501C6"/>
    <w:rsid w:val="00C57981"/>
    <w:rsid w:val="00C60A68"/>
    <w:rsid w:val="00C61D0D"/>
    <w:rsid w:val="00C6353C"/>
    <w:rsid w:val="00C74B0A"/>
    <w:rsid w:val="00C809FA"/>
    <w:rsid w:val="00CA696E"/>
    <w:rsid w:val="00CA6CE4"/>
    <w:rsid w:val="00CB25C1"/>
    <w:rsid w:val="00CB35A1"/>
    <w:rsid w:val="00CC1B5D"/>
    <w:rsid w:val="00CC7DE6"/>
    <w:rsid w:val="00CC7F0F"/>
    <w:rsid w:val="00CD1F39"/>
    <w:rsid w:val="00CD5805"/>
    <w:rsid w:val="00CD69CA"/>
    <w:rsid w:val="00CE398C"/>
    <w:rsid w:val="00D05A78"/>
    <w:rsid w:val="00D05E01"/>
    <w:rsid w:val="00D14C08"/>
    <w:rsid w:val="00D15FD8"/>
    <w:rsid w:val="00D17117"/>
    <w:rsid w:val="00D233D6"/>
    <w:rsid w:val="00D23A07"/>
    <w:rsid w:val="00D308FE"/>
    <w:rsid w:val="00D34C7E"/>
    <w:rsid w:val="00D41C5A"/>
    <w:rsid w:val="00D54127"/>
    <w:rsid w:val="00D62740"/>
    <w:rsid w:val="00D6684E"/>
    <w:rsid w:val="00D73210"/>
    <w:rsid w:val="00D732A0"/>
    <w:rsid w:val="00D81DA2"/>
    <w:rsid w:val="00DA2A1D"/>
    <w:rsid w:val="00DA45D1"/>
    <w:rsid w:val="00DC0778"/>
    <w:rsid w:val="00DC1F00"/>
    <w:rsid w:val="00DC2188"/>
    <w:rsid w:val="00DC59EE"/>
    <w:rsid w:val="00DD004E"/>
    <w:rsid w:val="00DD446E"/>
    <w:rsid w:val="00DE52F9"/>
    <w:rsid w:val="00DE5F01"/>
    <w:rsid w:val="00DE6A5F"/>
    <w:rsid w:val="00DF2E34"/>
    <w:rsid w:val="00DF38EC"/>
    <w:rsid w:val="00DF67AD"/>
    <w:rsid w:val="00E00E73"/>
    <w:rsid w:val="00E05B9C"/>
    <w:rsid w:val="00E05BA9"/>
    <w:rsid w:val="00E06591"/>
    <w:rsid w:val="00E07FCE"/>
    <w:rsid w:val="00E23CD1"/>
    <w:rsid w:val="00E23D36"/>
    <w:rsid w:val="00E33947"/>
    <w:rsid w:val="00E36F2F"/>
    <w:rsid w:val="00E4017A"/>
    <w:rsid w:val="00E450F1"/>
    <w:rsid w:val="00E45C95"/>
    <w:rsid w:val="00E46244"/>
    <w:rsid w:val="00E47E33"/>
    <w:rsid w:val="00E52B6C"/>
    <w:rsid w:val="00E54E30"/>
    <w:rsid w:val="00E5697D"/>
    <w:rsid w:val="00E56D97"/>
    <w:rsid w:val="00E6064A"/>
    <w:rsid w:val="00E63F45"/>
    <w:rsid w:val="00E727B9"/>
    <w:rsid w:val="00E72ADF"/>
    <w:rsid w:val="00E7410A"/>
    <w:rsid w:val="00E7781D"/>
    <w:rsid w:val="00E829EB"/>
    <w:rsid w:val="00E870FF"/>
    <w:rsid w:val="00E87488"/>
    <w:rsid w:val="00E9565F"/>
    <w:rsid w:val="00E95C20"/>
    <w:rsid w:val="00E95C48"/>
    <w:rsid w:val="00E96680"/>
    <w:rsid w:val="00EB0ED7"/>
    <w:rsid w:val="00EB7DDF"/>
    <w:rsid w:val="00EC1D91"/>
    <w:rsid w:val="00ED05D9"/>
    <w:rsid w:val="00ED4137"/>
    <w:rsid w:val="00EE0080"/>
    <w:rsid w:val="00EE20D8"/>
    <w:rsid w:val="00EF2EA4"/>
    <w:rsid w:val="00F00CAA"/>
    <w:rsid w:val="00F053B5"/>
    <w:rsid w:val="00F06503"/>
    <w:rsid w:val="00F07D3F"/>
    <w:rsid w:val="00F100A9"/>
    <w:rsid w:val="00F11B52"/>
    <w:rsid w:val="00F13BA0"/>
    <w:rsid w:val="00F23C30"/>
    <w:rsid w:val="00F32009"/>
    <w:rsid w:val="00F324DB"/>
    <w:rsid w:val="00F327FC"/>
    <w:rsid w:val="00F34D0A"/>
    <w:rsid w:val="00F34FBD"/>
    <w:rsid w:val="00F41804"/>
    <w:rsid w:val="00F47E7F"/>
    <w:rsid w:val="00F57045"/>
    <w:rsid w:val="00F57BC8"/>
    <w:rsid w:val="00F605FB"/>
    <w:rsid w:val="00F61655"/>
    <w:rsid w:val="00F631FD"/>
    <w:rsid w:val="00F71E31"/>
    <w:rsid w:val="00F71FB0"/>
    <w:rsid w:val="00F7535D"/>
    <w:rsid w:val="00F83CC5"/>
    <w:rsid w:val="00F86B81"/>
    <w:rsid w:val="00F9096E"/>
    <w:rsid w:val="00F940C4"/>
    <w:rsid w:val="00F94FEE"/>
    <w:rsid w:val="00F95DBF"/>
    <w:rsid w:val="00FA1144"/>
    <w:rsid w:val="00FA4114"/>
    <w:rsid w:val="00FA659A"/>
    <w:rsid w:val="00FB0E52"/>
    <w:rsid w:val="00FB34D8"/>
    <w:rsid w:val="00FB512C"/>
    <w:rsid w:val="00FB5B5E"/>
    <w:rsid w:val="00FC0A2B"/>
    <w:rsid w:val="00FC4A33"/>
    <w:rsid w:val="00FC5A52"/>
    <w:rsid w:val="00FD1C93"/>
    <w:rsid w:val="00FD2A2F"/>
    <w:rsid w:val="00FE16BB"/>
    <w:rsid w:val="00FE39A2"/>
    <w:rsid w:val="00FE3C6D"/>
    <w:rsid w:val="00FE65E3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15156"/>
  <w14:defaultImageDpi w14:val="32767"/>
  <w15:chartTrackingRefBased/>
  <w15:docId w15:val="{FAABA9C2-5359-904D-B8CF-CC432B8E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7981"/>
    <w:rPr>
      <w:rFonts w:ascii="Times New Roman" w:eastAsia="Times New Roman" w:hAnsi="Times New Roman" w:cs="Times New Roman"/>
      <w:lang w:val="en-S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98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Habib, M.D.</dc:creator>
  <cp:keywords/>
  <dc:description/>
  <cp:lastModifiedBy>Ashraf Habib, M.D.</cp:lastModifiedBy>
  <cp:revision>2</cp:revision>
  <dcterms:created xsi:type="dcterms:W3CDTF">2021-12-15T16:20:00Z</dcterms:created>
  <dcterms:modified xsi:type="dcterms:W3CDTF">2021-12-15T16:20:00Z</dcterms:modified>
</cp:coreProperties>
</file>