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EEA97" w14:textId="1A5634E1" w:rsidR="00D54DDD" w:rsidRPr="00E65A45" w:rsidRDefault="00D54DDD" w:rsidP="00CB0F31">
      <w:pPr>
        <w:snapToGrid w:val="0"/>
        <w:spacing w:line="480" w:lineRule="auto"/>
        <w:rPr>
          <w:rFonts w:ascii="Arial" w:hAnsi="Arial" w:cs="Arial"/>
          <w:b/>
          <w:color w:val="000000" w:themeColor="text1"/>
          <w:u w:val="single"/>
        </w:rPr>
      </w:pPr>
      <w:r w:rsidRPr="00E65A45">
        <w:rPr>
          <w:rFonts w:ascii="Arial" w:hAnsi="Arial" w:cs="Arial"/>
          <w:b/>
          <w:color w:val="000000" w:themeColor="text1"/>
          <w:u w:val="single"/>
        </w:rPr>
        <w:t>Supplemental Material</w:t>
      </w:r>
    </w:p>
    <w:p w14:paraId="05654C55" w14:textId="6C1C8184" w:rsidR="006779F8" w:rsidRDefault="006779F8" w:rsidP="00CB0F31">
      <w:pPr>
        <w:snapToGrid w:val="0"/>
        <w:spacing w:line="480" w:lineRule="auto"/>
        <w:rPr>
          <w:rFonts w:ascii="Arial" w:hAnsi="Arial" w:cs="Arial"/>
          <w:b/>
          <w:color w:val="000000" w:themeColor="text1"/>
        </w:rPr>
      </w:pPr>
      <w:r>
        <w:rPr>
          <w:rFonts w:ascii="Arial" w:hAnsi="Arial" w:cs="Arial"/>
          <w:b/>
          <w:color w:val="000000" w:themeColor="text1"/>
        </w:rPr>
        <w:t>Perioperative pain protocol for patients undergoing an open partial hepatectomy for living donation at our institution.</w:t>
      </w:r>
    </w:p>
    <w:tbl>
      <w:tblPr>
        <w:tblStyle w:val="TableGrid"/>
        <w:tblW w:w="0" w:type="auto"/>
        <w:tblLook w:val="04A0" w:firstRow="1" w:lastRow="0" w:firstColumn="1" w:lastColumn="0" w:noHBand="0" w:noVBand="1"/>
      </w:tblPr>
      <w:tblGrid>
        <w:gridCol w:w="535"/>
        <w:gridCol w:w="8815"/>
      </w:tblGrid>
      <w:tr w:rsidR="00914B3E" w14:paraId="1C3A6A78" w14:textId="77777777" w:rsidTr="000C42F0">
        <w:tc>
          <w:tcPr>
            <w:tcW w:w="9350" w:type="dxa"/>
            <w:gridSpan w:val="2"/>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64FB6ABB" w14:textId="0659238C" w:rsidR="00914B3E" w:rsidRPr="00914B3E" w:rsidRDefault="00914B3E" w:rsidP="00D711EB">
            <w:pPr>
              <w:snapToGrid w:val="0"/>
              <w:spacing w:line="480" w:lineRule="auto"/>
              <w:rPr>
                <w:rFonts w:ascii="Arial" w:hAnsi="Arial" w:cs="Arial"/>
                <w:b/>
                <w:color w:val="000000" w:themeColor="text1"/>
                <w:sz w:val="20"/>
                <w:szCs w:val="20"/>
              </w:rPr>
            </w:pPr>
            <w:r w:rsidRPr="00914B3E">
              <w:rPr>
                <w:rFonts w:ascii="Arial" w:hAnsi="Arial" w:cs="Arial"/>
                <w:b/>
                <w:color w:val="000000" w:themeColor="text1"/>
                <w:sz w:val="20"/>
                <w:szCs w:val="20"/>
              </w:rPr>
              <w:t>Perioperative Pain Protocol for open partial hepatectomy for living donation</w:t>
            </w:r>
          </w:p>
        </w:tc>
      </w:tr>
      <w:tr w:rsidR="001D1574" w14:paraId="5C7A2BFD" w14:textId="77777777" w:rsidTr="00F71304">
        <w:trPr>
          <w:trHeight w:val="368"/>
        </w:trPr>
        <w:tc>
          <w:tcPr>
            <w:tcW w:w="9350" w:type="dxa"/>
            <w:gridSpan w:val="2"/>
            <w:tcBorders>
              <w:top w:val="single" w:sz="4" w:space="0" w:color="000000" w:themeColor="text1"/>
              <w:left w:val="single" w:sz="4" w:space="0" w:color="FFFFFF" w:themeColor="background1"/>
              <w:bottom w:val="single" w:sz="4" w:space="0" w:color="FFFFFF"/>
              <w:right w:val="single" w:sz="4" w:space="0" w:color="FFFFFF" w:themeColor="background1"/>
            </w:tcBorders>
            <w:vAlign w:val="bottom"/>
          </w:tcPr>
          <w:p w14:paraId="627C7AA6" w14:textId="737C1930" w:rsidR="001D1574" w:rsidRPr="00914B3E" w:rsidRDefault="001D1574" w:rsidP="00F71304">
            <w:pPr>
              <w:snapToGrid w:val="0"/>
              <w:spacing w:line="480" w:lineRule="auto"/>
              <w:rPr>
                <w:rFonts w:ascii="Arial" w:hAnsi="Arial" w:cs="Arial"/>
                <w:bCs/>
                <w:color w:val="000000" w:themeColor="text1"/>
                <w:sz w:val="20"/>
                <w:szCs w:val="20"/>
              </w:rPr>
            </w:pPr>
            <w:r w:rsidRPr="00914B3E">
              <w:rPr>
                <w:rFonts w:ascii="Arial" w:hAnsi="Arial" w:cs="Arial"/>
                <w:bCs/>
                <w:color w:val="000000" w:themeColor="text1"/>
                <w:sz w:val="20"/>
                <w:szCs w:val="20"/>
              </w:rPr>
              <w:t>Preoperative</w:t>
            </w:r>
          </w:p>
        </w:tc>
      </w:tr>
      <w:tr w:rsidR="001D1574" w14:paraId="22EED1C0" w14:textId="77777777" w:rsidTr="00A9727C">
        <w:tc>
          <w:tcPr>
            <w:tcW w:w="535" w:type="dxa"/>
            <w:tcBorders>
              <w:top w:val="single" w:sz="4" w:space="0" w:color="FFFFFF"/>
              <w:left w:val="single" w:sz="4" w:space="0" w:color="FFFFFF" w:themeColor="background1"/>
              <w:bottom w:val="single" w:sz="4" w:space="0" w:color="FFFFFF"/>
              <w:right w:val="single" w:sz="4" w:space="0" w:color="FFFFFF"/>
            </w:tcBorders>
          </w:tcPr>
          <w:p w14:paraId="75E31D6B" w14:textId="77777777" w:rsidR="001D1574" w:rsidRPr="00F71304" w:rsidRDefault="001D1574" w:rsidP="00D711EB">
            <w:pPr>
              <w:snapToGrid w:val="0"/>
              <w:spacing w:line="480" w:lineRule="auto"/>
              <w:rPr>
                <w:rFonts w:ascii="Arial" w:hAnsi="Arial" w:cs="Arial"/>
                <w:bCs/>
                <w:color w:val="000000" w:themeColor="text1"/>
                <w:sz w:val="21"/>
                <w:szCs w:val="21"/>
              </w:rPr>
            </w:pPr>
          </w:p>
        </w:tc>
        <w:tc>
          <w:tcPr>
            <w:tcW w:w="8815" w:type="dxa"/>
            <w:tcBorders>
              <w:top w:val="single" w:sz="4" w:space="0" w:color="FFFFFF"/>
              <w:left w:val="single" w:sz="4" w:space="0" w:color="FFFFFF"/>
              <w:bottom w:val="single" w:sz="4" w:space="0" w:color="FFFFFF"/>
              <w:right w:val="single" w:sz="4" w:space="0" w:color="FFFFFF" w:themeColor="background1"/>
            </w:tcBorders>
          </w:tcPr>
          <w:p w14:paraId="24EC93CC" w14:textId="2819323F" w:rsidR="001D1574" w:rsidRPr="00914B3E" w:rsidRDefault="00F71304" w:rsidP="00F71304">
            <w:pPr>
              <w:snapToGrid w:val="0"/>
              <w:rPr>
                <w:rFonts w:ascii="Arial" w:hAnsi="Arial" w:cs="Arial"/>
                <w:bCs/>
                <w:color w:val="000000" w:themeColor="text1"/>
                <w:sz w:val="20"/>
                <w:szCs w:val="20"/>
              </w:rPr>
            </w:pPr>
            <w:r w:rsidRPr="00914B3E">
              <w:rPr>
                <w:rFonts w:ascii="Arial" w:hAnsi="Arial" w:cs="Arial"/>
                <w:bCs/>
                <w:color w:val="000000" w:themeColor="text1"/>
                <w:sz w:val="20"/>
                <w:szCs w:val="20"/>
              </w:rPr>
              <w:t>Acetaminophen 1000mg PO</w:t>
            </w:r>
          </w:p>
        </w:tc>
      </w:tr>
      <w:tr w:rsidR="001D1574" w14:paraId="3A6C741B" w14:textId="77777777" w:rsidTr="00A9727C">
        <w:tc>
          <w:tcPr>
            <w:tcW w:w="535" w:type="dxa"/>
            <w:tcBorders>
              <w:top w:val="single" w:sz="4" w:space="0" w:color="FFFFFF"/>
              <w:left w:val="single" w:sz="4" w:space="0" w:color="FFFFFF" w:themeColor="background1"/>
              <w:bottom w:val="single" w:sz="4" w:space="0" w:color="FFFFFF"/>
              <w:right w:val="single" w:sz="4" w:space="0" w:color="FFFFFF"/>
            </w:tcBorders>
          </w:tcPr>
          <w:p w14:paraId="6910AD16" w14:textId="77777777" w:rsidR="001D1574" w:rsidRPr="00F71304" w:rsidRDefault="001D1574" w:rsidP="00D711EB">
            <w:pPr>
              <w:snapToGrid w:val="0"/>
              <w:spacing w:line="480" w:lineRule="auto"/>
              <w:rPr>
                <w:rFonts w:ascii="Arial" w:hAnsi="Arial" w:cs="Arial"/>
                <w:bCs/>
                <w:color w:val="000000" w:themeColor="text1"/>
                <w:sz w:val="21"/>
                <w:szCs w:val="21"/>
              </w:rPr>
            </w:pPr>
          </w:p>
        </w:tc>
        <w:tc>
          <w:tcPr>
            <w:tcW w:w="8815" w:type="dxa"/>
            <w:tcBorders>
              <w:top w:val="single" w:sz="4" w:space="0" w:color="FFFFFF"/>
              <w:left w:val="single" w:sz="4" w:space="0" w:color="FFFFFF"/>
              <w:bottom w:val="single" w:sz="4" w:space="0" w:color="FFFFFF"/>
              <w:right w:val="single" w:sz="4" w:space="0" w:color="FFFFFF" w:themeColor="background1"/>
            </w:tcBorders>
          </w:tcPr>
          <w:p w14:paraId="3FCD1A08" w14:textId="5C062927" w:rsidR="001D1574" w:rsidRPr="00914B3E" w:rsidRDefault="00F71304" w:rsidP="00F71304">
            <w:pPr>
              <w:snapToGrid w:val="0"/>
              <w:rPr>
                <w:rFonts w:ascii="Arial" w:hAnsi="Arial" w:cs="Arial"/>
                <w:bCs/>
                <w:color w:val="000000" w:themeColor="text1"/>
                <w:sz w:val="20"/>
                <w:szCs w:val="20"/>
              </w:rPr>
            </w:pPr>
            <w:r w:rsidRPr="00914B3E">
              <w:rPr>
                <w:rFonts w:ascii="Arial" w:hAnsi="Arial" w:cs="Arial"/>
                <w:bCs/>
                <w:color w:val="000000" w:themeColor="text1"/>
                <w:sz w:val="20"/>
                <w:szCs w:val="20"/>
              </w:rPr>
              <w:t>Pregabalin 75mg PO</w:t>
            </w:r>
          </w:p>
        </w:tc>
      </w:tr>
      <w:tr w:rsidR="001D1574" w14:paraId="0B43BCE1" w14:textId="77777777" w:rsidTr="00A9727C">
        <w:tc>
          <w:tcPr>
            <w:tcW w:w="535" w:type="dxa"/>
            <w:tcBorders>
              <w:top w:val="single" w:sz="4" w:space="0" w:color="FFFFFF"/>
              <w:left w:val="single" w:sz="4" w:space="0" w:color="FFFFFF" w:themeColor="background1"/>
              <w:bottom w:val="single" w:sz="4" w:space="0" w:color="FFFFFF"/>
              <w:right w:val="single" w:sz="4" w:space="0" w:color="FFFFFF"/>
            </w:tcBorders>
          </w:tcPr>
          <w:p w14:paraId="5469709D" w14:textId="77777777" w:rsidR="001D1574" w:rsidRPr="00F71304" w:rsidRDefault="001D1574" w:rsidP="00D711EB">
            <w:pPr>
              <w:snapToGrid w:val="0"/>
              <w:spacing w:line="480" w:lineRule="auto"/>
              <w:rPr>
                <w:rFonts w:ascii="Arial" w:hAnsi="Arial" w:cs="Arial"/>
                <w:bCs/>
                <w:color w:val="000000" w:themeColor="text1"/>
                <w:sz w:val="21"/>
                <w:szCs w:val="21"/>
              </w:rPr>
            </w:pPr>
          </w:p>
        </w:tc>
        <w:tc>
          <w:tcPr>
            <w:tcW w:w="8815" w:type="dxa"/>
            <w:tcBorders>
              <w:top w:val="single" w:sz="4" w:space="0" w:color="FFFFFF"/>
              <w:left w:val="single" w:sz="4" w:space="0" w:color="FFFFFF"/>
              <w:bottom w:val="single" w:sz="4" w:space="0" w:color="FFFFFF"/>
              <w:right w:val="single" w:sz="4" w:space="0" w:color="FFFFFF" w:themeColor="background1"/>
            </w:tcBorders>
          </w:tcPr>
          <w:p w14:paraId="6C120B2D" w14:textId="6B60341F" w:rsidR="001D1574" w:rsidRPr="00914B3E" w:rsidRDefault="00F71304" w:rsidP="00F71304">
            <w:pPr>
              <w:snapToGrid w:val="0"/>
              <w:rPr>
                <w:rFonts w:ascii="Arial" w:hAnsi="Arial" w:cs="Arial"/>
                <w:bCs/>
                <w:color w:val="000000" w:themeColor="text1"/>
                <w:sz w:val="20"/>
                <w:szCs w:val="20"/>
              </w:rPr>
            </w:pPr>
            <w:r w:rsidRPr="00914B3E">
              <w:rPr>
                <w:rFonts w:ascii="Arial" w:hAnsi="Arial" w:cs="Arial"/>
                <w:bCs/>
                <w:color w:val="000000" w:themeColor="text1"/>
                <w:sz w:val="20"/>
                <w:szCs w:val="20"/>
              </w:rPr>
              <w:t>Celecoxib 200mg PO (If not prior kidney donor</w:t>
            </w:r>
            <w:r w:rsidR="004836AE">
              <w:rPr>
                <w:rFonts w:ascii="Arial" w:hAnsi="Arial" w:cs="Arial"/>
                <w:bCs/>
                <w:color w:val="000000" w:themeColor="text1"/>
                <w:sz w:val="20"/>
                <w:szCs w:val="20"/>
              </w:rPr>
              <w:t>)</w:t>
            </w:r>
          </w:p>
        </w:tc>
      </w:tr>
      <w:tr w:rsidR="001D1574" w14:paraId="363C8680" w14:textId="77777777" w:rsidTr="00F71304">
        <w:tc>
          <w:tcPr>
            <w:tcW w:w="9350" w:type="dxa"/>
            <w:gridSpan w:val="2"/>
            <w:tcBorders>
              <w:top w:val="single" w:sz="4" w:space="0" w:color="FFFFFF"/>
              <w:left w:val="single" w:sz="4" w:space="0" w:color="FFFFFF" w:themeColor="background1"/>
              <w:bottom w:val="single" w:sz="4" w:space="0" w:color="FFFFFF"/>
              <w:right w:val="single" w:sz="4" w:space="0" w:color="FFFFFF" w:themeColor="background1"/>
            </w:tcBorders>
          </w:tcPr>
          <w:p w14:paraId="68203274" w14:textId="0187FE5F" w:rsidR="001D1574" w:rsidRPr="00914B3E" w:rsidRDefault="001D1574" w:rsidP="00D711EB">
            <w:pPr>
              <w:snapToGrid w:val="0"/>
              <w:spacing w:line="480" w:lineRule="auto"/>
              <w:rPr>
                <w:rFonts w:ascii="Arial" w:hAnsi="Arial" w:cs="Arial"/>
                <w:bCs/>
                <w:color w:val="000000" w:themeColor="text1"/>
                <w:sz w:val="20"/>
                <w:szCs w:val="20"/>
              </w:rPr>
            </w:pPr>
            <w:r w:rsidRPr="00914B3E">
              <w:rPr>
                <w:rFonts w:ascii="Arial" w:hAnsi="Arial" w:cs="Arial"/>
                <w:bCs/>
                <w:color w:val="000000" w:themeColor="text1"/>
                <w:sz w:val="20"/>
                <w:szCs w:val="20"/>
              </w:rPr>
              <w:t>Intra-operative</w:t>
            </w:r>
          </w:p>
        </w:tc>
      </w:tr>
      <w:tr w:rsidR="001D1574" w14:paraId="7E484980" w14:textId="77777777" w:rsidTr="00A9727C">
        <w:tc>
          <w:tcPr>
            <w:tcW w:w="535" w:type="dxa"/>
            <w:tcBorders>
              <w:top w:val="single" w:sz="4" w:space="0" w:color="FFFFFF"/>
              <w:left w:val="single" w:sz="4" w:space="0" w:color="FFFFFF" w:themeColor="background1"/>
              <w:bottom w:val="single" w:sz="4" w:space="0" w:color="FFFFFF"/>
              <w:right w:val="single" w:sz="4" w:space="0" w:color="FFFFFF"/>
            </w:tcBorders>
          </w:tcPr>
          <w:p w14:paraId="4B00A7BA" w14:textId="71A8CB95" w:rsidR="001D1574" w:rsidRPr="00F71304" w:rsidRDefault="001D1574" w:rsidP="00D711EB">
            <w:pPr>
              <w:snapToGrid w:val="0"/>
              <w:spacing w:line="480" w:lineRule="auto"/>
              <w:rPr>
                <w:rFonts w:ascii="Arial" w:hAnsi="Arial" w:cs="Arial"/>
                <w:bCs/>
                <w:color w:val="000000" w:themeColor="text1"/>
                <w:sz w:val="21"/>
                <w:szCs w:val="21"/>
              </w:rPr>
            </w:pPr>
          </w:p>
        </w:tc>
        <w:tc>
          <w:tcPr>
            <w:tcW w:w="8815" w:type="dxa"/>
            <w:tcBorders>
              <w:top w:val="single" w:sz="4" w:space="0" w:color="FFFFFF"/>
              <w:left w:val="single" w:sz="4" w:space="0" w:color="FFFFFF"/>
              <w:bottom w:val="single" w:sz="4" w:space="0" w:color="FFFFFF"/>
              <w:right w:val="single" w:sz="4" w:space="0" w:color="FFFFFF" w:themeColor="background1"/>
            </w:tcBorders>
          </w:tcPr>
          <w:p w14:paraId="732F727E" w14:textId="70CF542B" w:rsidR="001D1574" w:rsidRPr="00914B3E" w:rsidRDefault="00F71304" w:rsidP="00D711EB">
            <w:pPr>
              <w:snapToGrid w:val="0"/>
              <w:spacing w:line="480" w:lineRule="auto"/>
              <w:rPr>
                <w:rFonts w:ascii="Arial" w:hAnsi="Arial" w:cs="Arial"/>
                <w:bCs/>
                <w:color w:val="000000" w:themeColor="text1"/>
                <w:sz w:val="20"/>
                <w:szCs w:val="20"/>
              </w:rPr>
            </w:pPr>
            <w:r w:rsidRPr="00914B3E">
              <w:rPr>
                <w:rFonts w:ascii="Arial" w:hAnsi="Arial" w:cs="Arial"/>
                <w:bCs/>
                <w:color w:val="000000" w:themeColor="text1"/>
                <w:sz w:val="20"/>
                <w:szCs w:val="20"/>
              </w:rPr>
              <w:t>Fentanyl 50-100mcg at induction</w:t>
            </w:r>
          </w:p>
        </w:tc>
      </w:tr>
      <w:tr w:rsidR="00F71304" w14:paraId="44BCA311" w14:textId="77777777" w:rsidTr="00A9727C">
        <w:tc>
          <w:tcPr>
            <w:tcW w:w="535" w:type="dxa"/>
            <w:tcBorders>
              <w:top w:val="single" w:sz="4" w:space="0" w:color="FFFFFF"/>
              <w:left w:val="single" w:sz="4" w:space="0" w:color="FFFFFF" w:themeColor="background1"/>
              <w:bottom w:val="single" w:sz="4" w:space="0" w:color="FFFFFF"/>
              <w:right w:val="single" w:sz="4" w:space="0" w:color="FFFFFF"/>
            </w:tcBorders>
          </w:tcPr>
          <w:p w14:paraId="7DAB2566" w14:textId="77777777" w:rsidR="00F71304" w:rsidRPr="00F71304" w:rsidRDefault="00F71304" w:rsidP="00D711EB">
            <w:pPr>
              <w:snapToGrid w:val="0"/>
              <w:spacing w:line="480" w:lineRule="auto"/>
              <w:rPr>
                <w:rFonts w:ascii="Arial" w:hAnsi="Arial" w:cs="Arial"/>
                <w:bCs/>
                <w:color w:val="000000" w:themeColor="text1"/>
                <w:sz w:val="21"/>
                <w:szCs w:val="21"/>
              </w:rPr>
            </w:pPr>
          </w:p>
        </w:tc>
        <w:tc>
          <w:tcPr>
            <w:tcW w:w="8815" w:type="dxa"/>
            <w:tcBorders>
              <w:top w:val="single" w:sz="4" w:space="0" w:color="FFFFFF"/>
              <w:left w:val="single" w:sz="4" w:space="0" w:color="FFFFFF"/>
              <w:bottom w:val="single" w:sz="4" w:space="0" w:color="FFFFFF"/>
              <w:right w:val="single" w:sz="4" w:space="0" w:color="FFFFFF" w:themeColor="background1"/>
            </w:tcBorders>
          </w:tcPr>
          <w:p w14:paraId="29C6A535" w14:textId="33966016" w:rsidR="00F71304" w:rsidRPr="00914B3E" w:rsidRDefault="00F71304" w:rsidP="00D711EB">
            <w:pPr>
              <w:snapToGrid w:val="0"/>
              <w:spacing w:line="480" w:lineRule="auto"/>
              <w:rPr>
                <w:rFonts w:ascii="Arial" w:hAnsi="Arial" w:cs="Arial"/>
                <w:bCs/>
                <w:color w:val="000000" w:themeColor="text1"/>
                <w:sz w:val="20"/>
                <w:szCs w:val="20"/>
              </w:rPr>
            </w:pPr>
            <w:r w:rsidRPr="00914B3E">
              <w:rPr>
                <w:rFonts w:ascii="Arial" w:hAnsi="Arial" w:cs="Arial"/>
                <w:bCs/>
                <w:color w:val="000000" w:themeColor="text1"/>
                <w:sz w:val="20"/>
                <w:szCs w:val="20"/>
              </w:rPr>
              <w:t>Ketamine 0.25mg/kg bolus followed by infusion of 0.1mg/kg/h*</w:t>
            </w:r>
          </w:p>
        </w:tc>
      </w:tr>
      <w:tr w:rsidR="00F71304" w14:paraId="151C6C8D" w14:textId="77777777" w:rsidTr="00A9727C">
        <w:tc>
          <w:tcPr>
            <w:tcW w:w="535" w:type="dxa"/>
            <w:tcBorders>
              <w:top w:val="single" w:sz="4" w:space="0" w:color="FFFFFF"/>
              <w:left w:val="single" w:sz="4" w:space="0" w:color="FFFFFF" w:themeColor="background1"/>
              <w:bottom w:val="single" w:sz="4" w:space="0" w:color="FFFFFF"/>
              <w:right w:val="single" w:sz="4" w:space="0" w:color="FFFFFF"/>
            </w:tcBorders>
          </w:tcPr>
          <w:p w14:paraId="7B070457" w14:textId="77777777" w:rsidR="00F71304" w:rsidRPr="00F71304" w:rsidRDefault="00F71304" w:rsidP="00D711EB">
            <w:pPr>
              <w:snapToGrid w:val="0"/>
              <w:spacing w:line="480" w:lineRule="auto"/>
              <w:rPr>
                <w:rFonts w:ascii="Arial" w:hAnsi="Arial" w:cs="Arial"/>
                <w:bCs/>
                <w:color w:val="000000" w:themeColor="text1"/>
                <w:sz w:val="21"/>
                <w:szCs w:val="21"/>
              </w:rPr>
            </w:pPr>
          </w:p>
        </w:tc>
        <w:tc>
          <w:tcPr>
            <w:tcW w:w="8815" w:type="dxa"/>
            <w:tcBorders>
              <w:top w:val="single" w:sz="4" w:space="0" w:color="FFFFFF"/>
              <w:left w:val="single" w:sz="4" w:space="0" w:color="FFFFFF"/>
              <w:bottom w:val="single" w:sz="4" w:space="0" w:color="FFFFFF"/>
              <w:right w:val="single" w:sz="4" w:space="0" w:color="FFFFFF" w:themeColor="background1"/>
            </w:tcBorders>
          </w:tcPr>
          <w:p w14:paraId="573E890C" w14:textId="44EFF48F" w:rsidR="00F71304" w:rsidRPr="00914B3E" w:rsidRDefault="00F71304" w:rsidP="00D711EB">
            <w:pPr>
              <w:snapToGrid w:val="0"/>
              <w:spacing w:line="480" w:lineRule="auto"/>
              <w:rPr>
                <w:rFonts w:ascii="Arial" w:hAnsi="Arial" w:cs="Arial"/>
                <w:bCs/>
                <w:color w:val="000000" w:themeColor="text1"/>
                <w:sz w:val="20"/>
                <w:szCs w:val="20"/>
              </w:rPr>
            </w:pPr>
            <w:r w:rsidRPr="00914B3E">
              <w:rPr>
                <w:rFonts w:ascii="Arial" w:hAnsi="Arial" w:cs="Arial"/>
                <w:bCs/>
                <w:color w:val="000000" w:themeColor="text1"/>
                <w:sz w:val="20"/>
                <w:szCs w:val="20"/>
              </w:rPr>
              <w:t>Lidocaine 1mg/kg bolus followed by infusion of 1mg/kg/h*</w:t>
            </w:r>
          </w:p>
        </w:tc>
      </w:tr>
      <w:tr w:rsidR="00F71304" w14:paraId="0662F4BE" w14:textId="77777777" w:rsidTr="00A9727C">
        <w:tc>
          <w:tcPr>
            <w:tcW w:w="535" w:type="dxa"/>
            <w:tcBorders>
              <w:top w:val="single" w:sz="4" w:space="0" w:color="FFFFFF"/>
              <w:left w:val="single" w:sz="4" w:space="0" w:color="FFFFFF" w:themeColor="background1"/>
              <w:bottom w:val="single" w:sz="4" w:space="0" w:color="FFFFFF"/>
              <w:right w:val="single" w:sz="4" w:space="0" w:color="FFFFFF"/>
            </w:tcBorders>
          </w:tcPr>
          <w:p w14:paraId="39001AB0" w14:textId="77777777" w:rsidR="00F71304" w:rsidRPr="00F71304" w:rsidRDefault="00F71304" w:rsidP="00D711EB">
            <w:pPr>
              <w:snapToGrid w:val="0"/>
              <w:spacing w:line="480" w:lineRule="auto"/>
              <w:rPr>
                <w:rFonts w:ascii="Arial" w:hAnsi="Arial" w:cs="Arial"/>
                <w:bCs/>
                <w:color w:val="000000" w:themeColor="text1"/>
                <w:sz w:val="21"/>
                <w:szCs w:val="21"/>
              </w:rPr>
            </w:pPr>
          </w:p>
        </w:tc>
        <w:tc>
          <w:tcPr>
            <w:tcW w:w="8815" w:type="dxa"/>
            <w:tcBorders>
              <w:top w:val="single" w:sz="4" w:space="0" w:color="FFFFFF"/>
              <w:left w:val="single" w:sz="4" w:space="0" w:color="FFFFFF"/>
              <w:bottom w:val="single" w:sz="4" w:space="0" w:color="FFFFFF"/>
              <w:right w:val="single" w:sz="4" w:space="0" w:color="FFFFFF" w:themeColor="background1"/>
            </w:tcBorders>
          </w:tcPr>
          <w:p w14:paraId="540CB405" w14:textId="76C0689C" w:rsidR="00F71304" w:rsidRPr="00914B3E" w:rsidRDefault="00F71304" w:rsidP="00D711EB">
            <w:pPr>
              <w:snapToGrid w:val="0"/>
              <w:spacing w:line="480" w:lineRule="auto"/>
              <w:rPr>
                <w:rFonts w:ascii="Arial" w:hAnsi="Arial" w:cs="Arial"/>
                <w:bCs/>
                <w:color w:val="000000" w:themeColor="text1"/>
                <w:sz w:val="20"/>
                <w:szCs w:val="20"/>
              </w:rPr>
            </w:pPr>
            <w:r w:rsidRPr="00914B3E">
              <w:rPr>
                <w:rFonts w:ascii="Arial" w:hAnsi="Arial" w:cs="Arial"/>
                <w:bCs/>
                <w:color w:val="000000" w:themeColor="text1"/>
                <w:sz w:val="20"/>
                <w:szCs w:val="20"/>
              </w:rPr>
              <w:t>Dexmedetomidine infusion 0.2-0.5 mg/kg/h*</w:t>
            </w:r>
          </w:p>
        </w:tc>
      </w:tr>
      <w:tr w:rsidR="00F71304" w14:paraId="56D78CCD" w14:textId="77777777" w:rsidTr="00A9727C">
        <w:tc>
          <w:tcPr>
            <w:tcW w:w="535" w:type="dxa"/>
            <w:tcBorders>
              <w:top w:val="single" w:sz="4" w:space="0" w:color="FFFFFF"/>
              <w:left w:val="single" w:sz="4" w:space="0" w:color="FFFFFF" w:themeColor="background1"/>
              <w:bottom w:val="single" w:sz="4" w:space="0" w:color="FFFFFF"/>
              <w:right w:val="single" w:sz="4" w:space="0" w:color="FFFFFF"/>
            </w:tcBorders>
          </w:tcPr>
          <w:p w14:paraId="62B130EF" w14:textId="77777777" w:rsidR="00F71304" w:rsidRPr="00F71304" w:rsidRDefault="00F71304" w:rsidP="00D711EB">
            <w:pPr>
              <w:snapToGrid w:val="0"/>
              <w:spacing w:line="480" w:lineRule="auto"/>
              <w:rPr>
                <w:rFonts w:ascii="Arial" w:hAnsi="Arial" w:cs="Arial"/>
                <w:bCs/>
                <w:color w:val="000000" w:themeColor="text1"/>
                <w:sz w:val="21"/>
                <w:szCs w:val="21"/>
              </w:rPr>
            </w:pPr>
          </w:p>
        </w:tc>
        <w:tc>
          <w:tcPr>
            <w:tcW w:w="8815" w:type="dxa"/>
            <w:tcBorders>
              <w:top w:val="single" w:sz="4" w:space="0" w:color="FFFFFF"/>
              <w:left w:val="single" w:sz="4" w:space="0" w:color="FFFFFF"/>
              <w:bottom w:val="single" w:sz="4" w:space="0" w:color="FFFFFF"/>
              <w:right w:val="single" w:sz="4" w:space="0" w:color="FFFFFF" w:themeColor="background1"/>
            </w:tcBorders>
          </w:tcPr>
          <w:p w14:paraId="42AF36D6" w14:textId="20A8B4E5" w:rsidR="00F71304" w:rsidRPr="00914B3E" w:rsidRDefault="00336AA0" w:rsidP="00D711EB">
            <w:pPr>
              <w:snapToGrid w:val="0"/>
              <w:spacing w:line="480" w:lineRule="auto"/>
              <w:rPr>
                <w:rFonts w:ascii="Arial" w:hAnsi="Arial" w:cs="Arial"/>
                <w:bCs/>
                <w:color w:val="000000" w:themeColor="text1"/>
                <w:sz w:val="20"/>
                <w:szCs w:val="20"/>
              </w:rPr>
            </w:pPr>
            <w:r w:rsidRPr="00914B3E">
              <w:rPr>
                <w:rFonts w:ascii="Arial" w:hAnsi="Arial" w:cs="Arial"/>
                <w:bCs/>
                <w:color w:val="000000" w:themeColor="text1"/>
                <w:sz w:val="20"/>
                <w:szCs w:val="20"/>
              </w:rPr>
              <w:t>Bupivacaine</w:t>
            </w:r>
            <w:r w:rsidR="00F71304" w:rsidRPr="00914B3E">
              <w:rPr>
                <w:rFonts w:ascii="Arial" w:hAnsi="Arial" w:cs="Arial"/>
                <w:bCs/>
                <w:color w:val="000000" w:themeColor="text1"/>
                <w:sz w:val="20"/>
                <w:szCs w:val="20"/>
              </w:rPr>
              <w:t xml:space="preserve"> at surgical site per surgical team</w:t>
            </w:r>
          </w:p>
        </w:tc>
      </w:tr>
      <w:tr w:rsidR="00F71304" w14:paraId="752539B7" w14:textId="77777777" w:rsidTr="00F71304">
        <w:tc>
          <w:tcPr>
            <w:tcW w:w="9350" w:type="dxa"/>
            <w:gridSpan w:val="2"/>
            <w:tcBorders>
              <w:top w:val="single" w:sz="4" w:space="0" w:color="FFFFFF"/>
              <w:left w:val="single" w:sz="4" w:space="0" w:color="FFFFFF" w:themeColor="background1"/>
              <w:bottom w:val="single" w:sz="4" w:space="0" w:color="FFFFFF"/>
              <w:right w:val="single" w:sz="4" w:space="0" w:color="FFFFFF" w:themeColor="background1"/>
            </w:tcBorders>
          </w:tcPr>
          <w:p w14:paraId="62A1D2EA" w14:textId="32E05D43" w:rsidR="00F71304" w:rsidRPr="00914B3E" w:rsidRDefault="00F71304" w:rsidP="00D711EB">
            <w:pPr>
              <w:snapToGrid w:val="0"/>
              <w:spacing w:line="480" w:lineRule="auto"/>
              <w:rPr>
                <w:rFonts w:ascii="Arial" w:hAnsi="Arial" w:cs="Arial"/>
                <w:bCs/>
                <w:color w:val="000000" w:themeColor="text1"/>
                <w:sz w:val="20"/>
                <w:szCs w:val="20"/>
              </w:rPr>
            </w:pPr>
            <w:r w:rsidRPr="00914B3E">
              <w:rPr>
                <w:rFonts w:ascii="Arial" w:hAnsi="Arial" w:cs="Arial"/>
                <w:bCs/>
                <w:color w:val="000000" w:themeColor="text1"/>
                <w:sz w:val="20"/>
                <w:szCs w:val="20"/>
              </w:rPr>
              <w:t>Post-operative</w:t>
            </w:r>
          </w:p>
        </w:tc>
      </w:tr>
      <w:tr w:rsidR="00F71304" w14:paraId="0D644AC4" w14:textId="77777777" w:rsidTr="00A9727C">
        <w:tc>
          <w:tcPr>
            <w:tcW w:w="535" w:type="dxa"/>
            <w:tcBorders>
              <w:top w:val="single" w:sz="4" w:space="0" w:color="FFFFFF"/>
              <w:left w:val="single" w:sz="4" w:space="0" w:color="FFFFFF" w:themeColor="background1"/>
              <w:bottom w:val="single" w:sz="4" w:space="0" w:color="FFFFFF"/>
              <w:right w:val="single" w:sz="4" w:space="0" w:color="FFFFFF"/>
            </w:tcBorders>
          </w:tcPr>
          <w:p w14:paraId="426F08E4" w14:textId="77777777" w:rsidR="00F71304" w:rsidRPr="00F71304" w:rsidRDefault="00F71304" w:rsidP="00D711EB">
            <w:pPr>
              <w:snapToGrid w:val="0"/>
              <w:spacing w:line="480" w:lineRule="auto"/>
              <w:rPr>
                <w:rFonts w:ascii="Arial" w:hAnsi="Arial" w:cs="Arial"/>
                <w:bCs/>
                <w:color w:val="000000" w:themeColor="text1"/>
                <w:sz w:val="21"/>
                <w:szCs w:val="21"/>
              </w:rPr>
            </w:pPr>
          </w:p>
        </w:tc>
        <w:tc>
          <w:tcPr>
            <w:tcW w:w="8815" w:type="dxa"/>
            <w:tcBorders>
              <w:top w:val="single" w:sz="4" w:space="0" w:color="FFFFFF"/>
              <w:left w:val="single" w:sz="4" w:space="0" w:color="FFFFFF"/>
              <w:bottom w:val="single" w:sz="4" w:space="0" w:color="FFFFFF"/>
              <w:right w:val="single" w:sz="4" w:space="0" w:color="FFFFFF" w:themeColor="background1"/>
            </w:tcBorders>
          </w:tcPr>
          <w:p w14:paraId="38B4DBE2" w14:textId="1369D8BF" w:rsidR="00F71304" w:rsidRPr="00914B3E" w:rsidRDefault="00F71304" w:rsidP="00D711EB">
            <w:pPr>
              <w:snapToGrid w:val="0"/>
              <w:spacing w:line="480" w:lineRule="auto"/>
              <w:rPr>
                <w:rFonts w:ascii="Arial" w:hAnsi="Arial" w:cs="Arial"/>
                <w:bCs/>
                <w:color w:val="000000" w:themeColor="text1"/>
                <w:sz w:val="20"/>
                <w:szCs w:val="20"/>
              </w:rPr>
            </w:pPr>
            <w:r w:rsidRPr="00914B3E">
              <w:rPr>
                <w:rFonts w:ascii="Arial" w:hAnsi="Arial" w:cs="Arial"/>
                <w:bCs/>
                <w:color w:val="000000" w:themeColor="text1"/>
                <w:sz w:val="20"/>
                <w:szCs w:val="20"/>
              </w:rPr>
              <w:t>Hydromorphone PCA per surgical team</w:t>
            </w:r>
          </w:p>
        </w:tc>
      </w:tr>
      <w:tr w:rsidR="00F71304" w14:paraId="461156BF" w14:textId="77777777" w:rsidTr="00A9727C">
        <w:tc>
          <w:tcPr>
            <w:tcW w:w="535" w:type="dxa"/>
            <w:tcBorders>
              <w:top w:val="single" w:sz="4" w:space="0" w:color="FFFFFF"/>
              <w:left w:val="single" w:sz="4" w:space="0" w:color="FFFFFF" w:themeColor="background1"/>
              <w:right w:val="single" w:sz="4" w:space="0" w:color="FFFFFF"/>
            </w:tcBorders>
          </w:tcPr>
          <w:p w14:paraId="59171122" w14:textId="77777777" w:rsidR="00F71304" w:rsidRPr="00F71304" w:rsidRDefault="00F71304" w:rsidP="00D711EB">
            <w:pPr>
              <w:snapToGrid w:val="0"/>
              <w:spacing w:line="480" w:lineRule="auto"/>
              <w:rPr>
                <w:rFonts w:ascii="Arial" w:hAnsi="Arial" w:cs="Arial"/>
                <w:bCs/>
                <w:color w:val="000000" w:themeColor="text1"/>
                <w:sz w:val="21"/>
                <w:szCs w:val="21"/>
              </w:rPr>
            </w:pPr>
          </w:p>
        </w:tc>
        <w:tc>
          <w:tcPr>
            <w:tcW w:w="8815" w:type="dxa"/>
            <w:tcBorders>
              <w:top w:val="single" w:sz="4" w:space="0" w:color="FFFFFF"/>
              <w:left w:val="single" w:sz="4" w:space="0" w:color="FFFFFF"/>
              <w:right w:val="single" w:sz="4" w:space="0" w:color="FFFFFF" w:themeColor="background1"/>
            </w:tcBorders>
          </w:tcPr>
          <w:p w14:paraId="64F92BC7" w14:textId="4C89FA90" w:rsidR="00F71304" w:rsidRPr="00914B3E" w:rsidRDefault="00F71304" w:rsidP="00D711EB">
            <w:pPr>
              <w:snapToGrid w:val="0"/>
              <w:spacing w:line="480" w:lineRule="auto"/>
              <w:rPr>
                <w:rFonts w:ascii="Arial" w:hAnsi="Arial" w:cs="Arial"/>
                <w:bCs/>
                <w:color w:val="000000" w:themeColor="text1"/>
                <w:sz w:val="20"/>
                <w:szCs w:val="20"/>
              </w:rPr>
            </w:pPr>
            <w:r w:rsidRPr="00914B3E">
              <w:rPr>
                <w:rFonts w:ascii="Arial" w:hAnsi="Arial" w:cs="Arial"/>
                <w:bCs/>
                <w:color w:val="000000" w:themeColor="text1"/>
                <w:sz w:val="20"/>
                <w:szCs w:val="20"/>
              </w:rPr>
              <w:t>Ketorolac 15mg IV q6h</w:t>
            </w:r>
          </w:p>
        </w:tc>
      </w:tr>
    </w:tbl>
    <w:p w14:paraId="675A4D64" w14:textId="619CE1DF" w:rsidR="001D1574" w:rsidRPr="00914B3E" w:rsidRDefault="00914B3E" w:rsidP="00D711EB">
      <w:pPr>
        <w:snapToGrid w:val="0"/>
        <w:spacing w:line="480" w:lineRule="auto"/>
        <w:rPr>
          <w:rFonts w:ascii="Arial" w:hAnsi="Arial" w:cs="Arial"/>
          <w:bCs/>
          <w:color w:val="000000" w:themeColor="text1"/>
          <w:sz w:val="20"/>
          <w:szCs w:val="20"/>
        </w:rPr>
      </w:pPr>
      <w:r w:rsidRPr="00914B3E">
        <w:rPr>
          <w:rFonts w:ascii="Arial" w:hAnsi="Arial" w:cs="Arial"/>
          <w:bCs/>
          <w:color w:val="000000" w:themeColor="text1"/>
          <w:sz w:val="20"/>
          <w:szCs w:val="20"/>
        </w:rPr>
        <w:t>*Infusions stopped when hepatic graft leaves the field</w:t>
      </w:r>
    </w:p>
    <w:p w14:paraId="5AA7CB4D" w14:textId="5FEFC52D" w:rsidR="001D1574" w:rsidRDefault="001D1574" w:rsidP="00D711EB">
      <w:pPr>
        <w:snapToGrid w:val="0"/>
        <w:spacing w:line="480" w:lineRule="auto"/>
        <w:rPr>
          <w:rFonts w:ascii="Arial" w:hAnsi="Arial" w:cs="Arial"/>
          <w:bCs/>
          <w:color w:val="000000" w:themeColor="text1"/>
        </w:rPr>
      </w:pPr>
    </w:p>
    <w:p w14:paraId="0C6C27B1" w14:textId="2C3B6AB3" w:rsidR="0080017E" w:rsidRDefault="0080017E" w:rsidP="00D711EB">
      <w:pPr>
        <w:snapToGrid w:val="0"/>
        <w:spacing w:line="480" w:lineRule="auto"/>
        <w:rPr>
          <w:rFonts w:ascii="Arial" w:hAnsi="Arial" w:cs="Arial"/>
          <w:bCs/>
          <w:color w:val="000000" w:themeColor="text1"/>
        </w:rPr>
      </w:pPr>
    </w:p>
    <w:p w14:paraId="7E790DBF" w14:textId="0511457C" w:rsidR="0080017E" w:rsidRDefault="0080017E" w:rsidP="00D711EB">
      <w:pPr>
        <w:snapToGrid w:val="0"/>
        <w:spacing w:line="480" w:lineRule="auto"/>
        <w:rPr>
          <w:rFonts w:ascii="Arial" w:hAnsi="Arial" w:cs="Arial"/>
          <w:bCs/>
          <w:color w:val="000000" w:themeColor="text1"/>
        </w:rPr>
      </w:pPr>
    </w:p>
    <w:p w14:paraId="02A36B82" w14:textId="52601C50" w:rsidR="0080017E" w:rsidRDefault="0080017E" w:rsidP="00D711EB">
      <w:pPr>
        <w:snapToGrid w:val="0"/>
        <w:spacing w:line="480" w:lineRule="auto"/>
        <w:rPr>
          <w:rFonts w:ascii="Arial" w:hAnsi="Arial" w:cs="Arial"/>
          <w:bCs/>
          <w:color w:val="000000" w:themeColor="text1"/>
        </w:rPr>
      </w:pPr>
    </w:p>
    <w:p w14:paraId="4C2B0AD9" w14:textId="2A4BF2E3" w:rsidR="0080017E" w:rsidRDefault="0080017E" w:rsidP="00D711EB">
      <w:pPr>
        <w:snapToGrid w:val="0"/>
        <w:spacing w:line="480" w:lineRule="auto"/>
        <w:rPr>
          <w:rFonts w:ascii="Arial" w:hAnsi="Arial" w:cs="Arial"/>
          <w:bCs/>
          <w:color w:val="000000" w:themeColor="text1"/>
        </w:rPr>
      </w:pPr>
    </w:p>
    <w:p w14:paraId="3EB1AFF4" w14:textId="41B7F40A" w:rsidR="0080017E" w:rsidRDefault="0080017E" w:rsidP="00D711EB">
      <w:pPr>
        <w:snapToGrid w:val="0"/>
        <w:spacing w:line="480" w:lineRule="auto"/>
        <w:rPr>
          <w:rFonts w:ascii="Arial" w:hAnsi="Arial" w:cs="Arial"/>
          <w:bCs/>
          <w:color w:val="000000" w:themeColor="text1"/>
        </w:rPr>
      </w:pPr>
    </w:p>
    <w:p w14:paraId="4919F9A6" w14:textId="77777777" w:rsidR="0080017E" w:rsidRDefault="0080017E" w:rsidP="00D711EB">
      <w:pPr>
        <w:snapToGrid w:val="0"/>
        <w:spacing w:line="480" w:lineRule="auto"/>
        <w:rPr>
          <w:rFonts w:ascii="Arial" w:hAnsi="Arial" w:cs="Arial"/>
          <w:bCs/>
          <w:color w:val="000000" w:themeColor="text1"/>
        </w:rPr>
      </w:pPr>
    </w:p>
    <w:p w14:paraId="3ABA7EBD" w14:textId="72504975" w:rsidR="0080017E" w:rsidRPr="0080017E" w:rsidRDefault="0080017E" w:rsidP="0080017E">
      <w:pPr>
        <w:pStyle w:val="NoSpacing"/>
        <w:rPr>
          <w:rFonts w:ascii="Arial" w:hAnsi="Arial" w:cs="Arial"/>
          <w:b/>
          <w:sz w:val="24"/>
          <w:szCs w:val="24"/>
        </w:rPr>
      </w:pPr>
      <w:r w:rsidRPr="0080017E">
        <w:rPr>
          <w:rFonts w:ascii="Arial" w:hAnsi="Arial" w:cs="Arial"/>
          <w:b/>
          <w:sz w:val="24"/>
          <w:szCs w:val="24"/>
        </w:rPr>
        <w:lastRenderedPageBreak/>
        <w:t xml:space="preserve">LC-MS/MS </w:t>
      </w:r>
      <w:r w:rsidR="003C351C">
        <w:rPr>
          <w:rFonts w:ascii="Arial" w:hAnsi="Arial" w:cs="Arial"/>
          <w:b/>
          <w:sz w:val="24"/>
          <w:szCs w:val="24"/>
        </w:rPr>
        <w:t>A</w:t>
      </w:r>
      <w:r w:rsidRPr="0080017E">
        <w:rPr>
          <w:rFonts w:ascii="Arial" w:hAnsi="Arial" w:cs="Arial"/>
          <w:b/>
          <w:sz w:val="24"/>
          <w:szCs w:val="24"/>
        </w:rPr>
        <w:t>nalysis of Lidocaine and Lidocaine metabolites (MEGX and GX)</w:t>
      </w:r>
    </w:p>
    <w:p w14:paraId="1F9CE70A" w14:textId="77777777" w:rsidR="0080017E" w:rsidRDefault="0080017E" w:rsidP="0080017E">
      <w:pPr>
        <w:pStyle w:val="NoSpacing"/>
        <w:rPr>
          <w:rFonts w:ascii="Arial" w:hAnsi="Arial" w:cs="Arial"/>
        </w:rPr>
      </w:pPr>
    </w:p>
    <w:p w14:paraId="61581DF5" w14:textId="6CE4450D" w:rsidR="0080017E" w:rsidRPr="0080017E" w:rsidRDefault="0080017E" w:rsidP="0080017E">
      <w:pPr>
        <w:pStyle w:val="NoSpacing"/>
        <w:jc w:val="both"/>
        <w:rPr>
          <w:rFonts w:ascii="Arial" w:hAnsi="Arial" w:cs="Arial"/>
          <w:sz w:val="20"/>
          <w:szCs w:val="20"/>
        </w:rPr>
      </w:pPr>
      <w:r w:rsidRPr="0080017E">
        <w:rPr>
          <w:rFonts w:ascii="Arial" w:hAnsi="Arial" w:cs="Arial"/>
          <w:sz w:val="20"/>
          <w:szCs w:val="20"/>
        </w:rPr>
        <w:t>Lidocaine and its metabolites glycinexylidide (GX) and monoethylglycinexylidide (MEGX) were quantified using high-performance liquid chromatograph- tandem mass spectrometry LC-MS/MS by iC42 Clinical Research and Development (Aurora, CO, USA</w:t>
      </w:r>
      <w:r w:rsidR="00FB1ADA">
        <w:rPr>
          <w:rFonts w:ascii="Arial" w:hAnsi="Arial" w:cs="Arial"/>
          <w:sz w:val="20"/>
          <w:szCs w:val="20"/>
        </w:rPr>
        <w:t>)</w:t>
      </w:r>
      <w:r w:rsidRPr="0080017E">
        <w:rPr>
          <w:rFonts w:ascii="Arial" w:hAnsi="Arial" w:cs="Arial"/>
          <w:sz w:val="20"/>
          <w:szCs w:val="20"/>
        </w:rPr>
        <w:t>. The assay in brief:</w:t>
      </w:r>
    </w:p>
    <w:p w14:paraId="0C822A1B" w14:textId="77777777" w:rsidR="0080017E" w:rsidRPr="0080017E" w:rsidRDefault="0080017E" w:rsidP="0080017E">
      <w:pPr>
        <w:pStyle w:val="NoSpacing"/>
        <w:jc w:val="both"/>
        <w:rPr>
          <w:rFonts w:ascii="Arial" w:hAnsi="Arial" w:cs="Arial"/>
          <w:sz w:val="20"/>
          <w:szCs w:val="20"/>
        </w:rPr>
      </w:pPr>
      <w:r w:rsidRPr="0080017E">
        <w:rPr>
          <w:rFonts w:ascii="Arial" w:hAnsi="Arial" w:cs="Arial"/>
          <w:sz w:val="20"/>
          <w:szCs w:val="20"/>
        </w:rPr>
        <w:t>Reference compounds for lidocaine were purchased from Sigma Aldrich (St. Louis, MO, USA) and for GX and MEGX as well as for the corresponding internal standards lidocaine-d6 and monoethylglycinexylidide-d5 (MEGX-d5) from Toronto Research Chemicals (Toronto, ON, Canada).</w:t>
      </w:r>
    </w:p>
    <w:p w14:paraId="78960913" w14:textId="77777777" w:rsidR="0080017E" w:rsidRPr="0080017E" w:rsidRDefault="0080017E" w:rsidP="0080017E">
      <w:pPr>
        <w:pStyle w:val="NoSpacing"/>
        <w:jc w:val="both"/>
        <w:rPr>
          <w:rFonts w:ascii="Arial" w:hAnsi="Arial" w:cs="Arial"/>
          <w:sz w:val="20"/>
          <w:szCs w:val="20"/>
        </w:rPr>
      </w:pPr>
      <w:r w:rsidRPr="0080017E">
        <w:rPr>
          <w:rFonts w:ascii="Arial" w:hAnsi="Arial" w:cs="Arial"/>
          <w:sz w:val="20"/>
          <w:szCs w:val="20"/>
        </w:rPr>
        <w:t xml:space="preserve">To 200 µL of each EDTA plasma study, calibrator, quality control, blank and zero sample, 600 µL of a methanol protein precipitation solution containing the internal standards (100 ng/mL lidocaine-d6 and 250 ng/mL MEGX-d5) were added. Samples were then vortexed for 5 min, centrifuged at 16,000 g at 4°C for 10 min. Hereafter, the supernatants were transferred into 2-mL glass HPLC injection vials. The extracted samples were analyzed using an LC-MS/MS system composed of a PAL </w:t>
      </w:r>
      <w:proofErr w:type="spellStart"/>
      <w:r w:rsidRPr="0080017E">
        <w:rPr>
          <w:rFonts w:ascii="Arial" w:hAnsi="Arial" w:cs="Arial"/>
          <w:sz w:val="20"/>
          <w:szCs w:val="20"/>
        </w:rPr>
        <w:t>StkCooler</w:t>
      </w:r>
      <w:proofErr w:type="spellEnd"/>
      <w:r w:rsidRPr="0080017E">
        <w:rPr>
          <w:rFonts w:ascii="Arial" w:hAnsi="Arial" w:cs="Arial"/>
          <w:sz w:val="20"/>
          <w:szCs w:val="20"/>
        </w:rPr>
        <w:t xml:space="preserve"> autosampler (CTC Analytics LEAP Technologies, Carrboro, NC, set to 4°C) with integrated 6-port VICI switching valve (</w:t>
      </w:r>
      <w:proofErr w:type="spellStart"/>
      <w:r w:rsidRPr="0080017E">
        <w:rPr>
          <w:rFonts w:ascii="Arial" w:hAnsi="Arial" w:cs="Arial"/>
          <w:sz w:val="20"/>
          <w:szCs w:val="20"/>
        </w:rPr>
        <w:t>Valco</w:t>
      </w:r>
      <w:proofErr w:type="spellEnd"/>
      <w:r w:rsidRPr="0080017E">
        <w:rPr>
          <w:rFonts w:ascii="Arial" w:hAnsi="Arial" w:cs="Arial"/>
          <w:sz w:val="20"/>
          <w:szCs w:val="20"/>
        </w:rPr>
        <w:t xml:space="preserve"> Instruments, Houston, TX) and an Agilent series 1100 HPLC system (Agilent Technologies, Santa Clara, CA) connected via a turbo flow electrospray ionization source to a </w:t>
      </w:r>
      <w:proofErr w:type="spellStart"/>
      <w:r w:rsidRPr="0080017E">
        <w:rPr>
          <w:rFonts w:ascii="Arial" w:hAnsi="Arial" w:cs="Arial"/>
          <w:sz w:val="20"/>
          <w:szCs w:val="20"/>
        </w:rPr>
        <w:t>Sciex</w:t>
      </w:r>
      <w:proofErr w:type="spellEnd"/>
      <w:r w:rsidRPr="0080017E">
        <w:rPr>
          <w:rFonts w:ascii="Arial" w:hAnsi="Arial" w:cs="Arial"/>
          <w:sz w:val="20"/>
          <w:szCs w:val="20"/>
        </w:rPr>
        <w:t xml:space="preserve"> API 5000 triple stage quadrupole mass spectrometer (</w:t>
      </w:r>
      <w:proofErr w:type="spellStart"/>
      <w:r w:rsidRPr="0080017E">
        <w:rPr>
          <w:rFonts w:ascii="Arial" w:hAnsi="Arial" w:cs="Arial"/>
          <w:sz w:val="20"/>
          <w:szCs w:val="20"/>
        </w:rPr>
        <w:t>Sciex</w:t>
      </w:r>
      <w:proofErr w:type="spellEnd"/>
      <w:r w:rsidRPr="0080017E">
        <w:rPr>
          <w:rFonts w:ascii="Arial" w:hAnsi="Arial" w:cs="Arial"/>
          <w:sz w:val="20"/>
          <w:szCs w:val="20"/>
        </w:rPr>
        <w:t>, Concord, ON, Canada). The connections of the switching valve are shown in the Figure below.</w:t>
      </w:r>
    </w:p>
    <w:p w14:paraId="2EE711BE" w14:textId="77777777" w:rsidR="0080017E" w:rsidRPr="0080017E" w:rsidRDefault="0080017E" w:rsidP="0080017E">
      <w:pPr>
        <w:pStyle w:val="NoSpacing"/>
        <w:rPr>
          <w:rFonts w:ascii="Arial" w:hAnsi="Arial" w:cs="Arial"/>
          <w:sz w:val="20"/>
          <w:szCs w:val="20"/>
        </w:rPr>
      </w:pPr>
    </w:p>
    <w:p w14:paraId="71A078F7" w14:textId="77777777" w:rsidR="0080017E" w:rsidRPr="0080017E" w:rsidRDefault="0080017E" w:rsidP="0080017E">
      <w:pPr>
        <w:pStyle w:val="NoSpacing"/>
        <w:rPr>
          <w:rFonts w:ascii="Arial" w:hAnsi="Arial" w:cs="Arial"/>
          <w:i/>
          <w:sz w:val="20"/>
          <w:szCs w:val="20"/>
        </w:rPr>
      </w:pPr>
      <w:r w:rsidRPr="0080017E">
        <w:rPr>
          <w:rFonts w:ascii="Arial" w:hAnsi="Arial" w:cs="Arial"/>
          <w:i/>
          <w:sz w:val="20"/>
          <w:szCs w:val="20"/>
        </w:rPr>
        <w:t>Connections and positions of the column switching valve.</w:t>
      </w:r>
    </w:p>
    <w:p w14:paraId="344D9EDB" w14:textId="77777777" w:rsidR="0080017E" w:rsidRPr="0080017E" w:rsidRDefault="0080017E" w:rsidP="0080017E">
      <w:pPr>
        <w:pStyle w:val="NoSpacing"/>
        <w:rPr>
          <w:rFonts w:ascii="Arial" w:hAnsi="Arial" w:cs="Arial"/>
          <w:sz w:val="20"/>
          <w:szCs w:val="20"/>
        </w:rPr>
      </w:pPr>
      <w:r w:rsidRPr="0080017E">
        <w:rPr>
          <w:rFonts w:ascii="Arial" w:hAnsi="Arial" w:cs="Arial"/>
          <w:sz w:val="20"/>
          <w:szCs w:val="20"/>
        </w:rPr>
        <w:t>On the left, the loading position and online extraction is shown, on the right, after the switch, the analytes are backflushed from the online extraction column and separated on the analytical column.</w:t>
      </w:r>
    </w:p>
    <w:p w14:paraId="20D40C9B" w14:textId="77777777" w:rsidR="0080017E" w:rsidRPr="0080017E" w:rsidRDefault="0080017E" w:rsidP="0080017E">
      <w:pPr>
        <w:tabs>
          <w:tab w:val="left" w:pos="-2160"/>
          <w:tab w:val="left" w:pos="2835"/>
        </w:tabs>
        <w:jc w:val="both"/>
        <w:rPr>
          <w:rFonts w:ascii="Arial" w:hAnsi="Arial" w:cs="Arial"/>
          <w:sz w:val="20"/>
          <w:szCs w:val="20"/>
        </w:rPr>
      </w:pPr>
      <w:r w:rsidRPr="0080017E">
        <w:rPr>
          <w:rFonts w:ascii="Arial" w:hAnsi="Arial" w:cs="Arial"/>
          <w:noProof/>
          <w:sz w:val="20"/>
          <w:szCs w:val="20"/>
        </w:rPr>
        <w:drawing>
          <wp:anchor distT="0" distB="0" distL="114300" distR="114300" simplePos="0" relativeHeight="251659264" behindDoc="0" locked="0" layoutInCell="1" allowOverlap="1" wp14:anchorId="4E1631BF" wp14:editId="6A6413C9">
            <wp:simplePos x="0" y="0"/>
            <wp:positionH relativeFrom="margin">
              <wp:posOffset>819150</wp:posOffset>
            </wp:positionH>
            <wp:positionV relativeFrom="paragraph">
              <wp:posOffset>635</wp:posOffset>
            </wp:positionV>
            <wp:extent cx="4400550" cy="2276227"/>
            <wp:effectExtent l="0" t="0" r="0" b="0"/>
            <wp:wrapNone/>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05751" cy="227891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1F45002" w14:textId="77777777" w:rsidR="0080017E" w:rsidRPr="0080017E" w:rsidRDefault="0080017E" w:rsidP="0080017E">
      <w:pPr>
        <w:tabs>
          <w:tab w:val="left" w:pos="-2160"/>
          <w:tab w:val="left" w:pos="2835"/>
        </w:tabs>
        <w:jc w:val="both"/>
        <w:rPr>
          <w:rFonts w:ascii="Arial" w:hAnsi="Arial" w:cs="Arial"/>
          <w:sz w:val="20"/>
          <w:szCs w:val="20"/>
        </w:rPr>
      </w:pPr>
    </w:p>
    <w:p w14:paraId="14AE0AF6" w14:textId="77777777" w:rsidR="0080017E" w:rsidRPr="0080017E" w:rsidRDefault="0080017E" w:rsidP="0080017E">
      <w:pPr>
        <w:tabs>
          <w:tab w:val="left" w:pos="-2160"/>
          <w:tab w:val="left" w:pos="2835"/>
        </w:tabs>
        <w:jc w:val="both"/>
        <w:rPr>
          <w:rFonts w:ascii="Arial" w:hAnsi="Arial" w:cs="Arial"/>
          <w:sz w:val="20"/>
          <w:szCs w:val="20"/>
        </w:rPr>
      </w:pPr>
    </w:p>
    <w:p w14:paraId="73E7359D" w14:textId="77777777" w:rsidR="0080017E" w:rsidRPr="0080017E" w:rsidRDefault="0080017E" w:rsidP="0080017E">
      <w:pPr>
        <w:tabs>
          <w:tab w:val="left" w:pos="-2160"/>
          <w:tab w:val="left" w:pos="2835"/>
        </w:tabs>
        <w:jc w:val="both"/>
        <w:rPr>
          <w:rFonts w:ascii="Arial" w:hAnsi="Arial" w:cs="Arial"/>
          <w:sz w:val="20"/>
          <w:szCs w:val="20"/>
        </w:rPr>
      </w:pPr>
    </w:p>
    <w:p w14:paraId="0800CC5D" w14:textId="77777777" w:rsidR="0080017E" w:rsidRPr="0080017E" w:rsidRDefault="0080017E" w:rsidP="0080017E">
      <w:pPr>
        <w:tabs>
          <w:tab w:val="left" w:pos="-2160"/>
          <w:tab w:val="left" w:pos="2835"/>
        </w:tabs>
        <w:jc w:val="both"/>
        <w:rPr>
          <w:rFonts w:ascii="Arial" w:hAnsi="Arial" w:cs="Arial"/>
          <w:sz w:val="20"/>
          <w:szCs w:val="20"/>
        </w:rPr>
      </w:pPr>
    </w:p>
    <w:p w14:paraId="21ACB6DF" w14:textId="77777777" w:rsidR="0080017E" w:rsidRPr="0080017E" w:rsidRDefault="0080017E" w:rsidP="0080017E">
      <w:pPr>
        <w:tabs>
          <w:tab w:val="left" w:pos="-2160"/>
          <w:tab w:val="left" w:pos="2835"/>
        </w:tabs>
        <w:jc w:val="both"/>
        <w:rPr>
          <w:rFonts w:ascii="Arial" w:hAnsi="Arial" w:cs="Arial"/>
          <w:sz w:val="20"/>
          <w:szCs w:val="20"/>
        </w:rPr>
      </w:pPr>
    </w:p>
    <w:p w14:paraId="79F04D7E" w14:textId="77777777" w:rsidR="0080017E" w:rsidRPr="0080017E" w:rsidRDefault="0080017E" w:rsidP="0080017E">
      <w:pPr>
        <w:jc w:val="both"/>
        <w:rPr>
          <w:rFonts w:ascii="Arial" w:hAnsi="Arial" w:cs="Arial"/>
          <w:b/>
          <w:bCs/>
          <w:sz w:val="20"/>
          <w:szCs w:val="20"/>
        </w:rPr>
      </w:pPr>
    </w:p>
    <w:p w14:paraId="12D9DBBA" w14:textId="77777777" w:rsidR="0080017E" w:rsidRPr="0080017E" w:rsidRDefault="0080017E" w:rsidP="0080017E">
      <w:pPr>
        <w:jc w:val="both"/>
        <w:rPr>
          <w:rFonts w:ascii="Arial" w:hAnsi="Arial" w:cs="Arial"/>
          <w:b/>
          <w:bCs/>
          <w:sz w:val="20"/>
          <w:szCs w:val="20"/>
        </w:rPr>
      </w:pPr>
    </w:p>
    <w:p w14:paraId="4ACF3946" w14:textId="77777777" w:rsidR="0080017E" w:rsidRPr="0080017E" w:rsidRDefault="0080017E" w:rsidP="0080017E">
      <w:pPr>
        <w:jc w:val="both"/>
        <w:rPr>
          <w:rFonts w:ascii="Arial" w:hAnsi="Arial" w:cs="Arial"/>
          <w:b/>
          <w:bCs/>
          <w:sz w:val="20"/>
          <w:szCs w:val="20"/>
        </w:rPr>
      </w:pPr>
    </w:p>
    <w:p w14:paraId="0AD50FF2" w14:textId="77777777" w:rsidR="0080017E" w:rsidRPr="0080017E" w:rsidRDefault="0080017E" w:rsidP="0080017E">
      <w:pPr>
        <w:jc w:val="both"/>
        <w:rPr>
          <w:rFonts w:ascii="Arial" w:hAnsi="Arial" w:cs="Arial"/>
          <w:b/>
          <w:bCs/>
          <w:sz w:val="20"/>
          <w:szCs w:val="20"/>
        </w:rPr>
      </w:pPr>
    </w:p>
    <w:p w14:paraId="2AD15E67" w14:textId="77777777" w:rsidR="0080017E" w:rsidRPr="0080017E" w:rsidRDefault="0080017E" w:rsidP="0080017E">
      <w:pPr>
        <w:jc w:val="both"/>
        <w:rPr>
          <w:rFonts w:ascii="Arial" w:hAnsi="Arial" w:cs="Arial"/>
          <w:b/>
          <w:bCs/>
          <w:sz w:val="20"/>
          <w:szCs w:val="20"/>
        </w:rPr>
      </w:pPr>
    </w:p>
    <w:p w14:paraId="3D1F64B1" w14:textId="77777777" w:rsidR="0080017E" w:rsidRPr="0080017E" w:rsidRDefault="0080017E" w:rsidP="0080017E">
      <w:pPr>
        <w:jc w:val="both"/>
        <w:rPr>
          <w:rFonts w:ascii="Arial" w:hAnsi="Arial" w:cs="Arial"/>
          <w:b/>
          <w:bCs/>
          <w:sz w:val="20"/>
          <w:szCs w:val="20"/>
        </w:rPr>
      </w:pPr>
    </w:p>
    <w:p w14:paraId="7866BAE1" w14:textId="77777777" w:rsidR="0080017E" w:rsidRPr="0080017E" w:rsidRDefault="0080017E" w:rsidP="0080017E">
      <w:pPr>
        <w:jc w:val="both"/>
        <w:rPr>
          <w:rFonts w:ascii="Arial" w:hAnsi="Arial" w:cs="Arial"/>
          <w:b/>
          <w:bCs/>
          <w:sz w:val="20"/>
          <w:szCs w:val="20"/>
        </w:rPr>
      </w:pPr>
    </w:p>
    <w:p w14:paraId="181C4F1D" w14:textId="77777777" w:rsidR="0080017E" w:rsidRPr="0080017E" w:rsidRDefault="0080017E" w:rsidP="0080017E">
      <w:pPr>
        <w:jc w:val="both"/>
        <w:rPr>
          <w:rFonts w:ascii="Arial" w:hAnsi="Arial" w:cs="Arial"/>
          <w:b/>
          <w:bCs/>
          <w:sz w:val="20"/>
          <w:szCs w:val="20"/>
        </w:rPr>
      </w:pPr>
    </w:p>
    <w:p w14:paraId="1113CB4D" w14:textId="77777777" w:rsidR="0080017E" w:rsidRPr="0080017E" w:rsidRDefault="0080017E" w:rsidP="0080017E">
      <w:pPr>
        <w:pStyle w:val="NoSpacing"/>
        <w:rPr>
          <w:rFonts w:ascii="Arial" w:hAnsi="Arial" w:cs="Arial"/>
          <w:sz w:val="20"/>
          <w:szCs w:val="20"/>
        </w:rPr>
      </w:pPr>
    </w:p>
    <w:p w14:paraId="3F6B128D" w14:textId="77777777" w:rsidR="0080017E" w:rsidRPr="0080017E" w:rsidRDefault="0080017E" w:rsidP="0080017E">
      <w:pPr>
        <w:pStyle w:val="NoSpacing"/>
        <w:jc w:val="both"/>
        <w:rPr>
          <w:rFonts w:ascii="Arial" w:hAnsi="Arial" w:cs="Arial"/>
          <w:sz w:val="20"/>
          <w:szCs w:val="20"/>
        </w:rPr>
      </w:pPr>
    </w:p>
    <w:p w14:paraId="09B3934D" w14:textId="77777777" w:rsidR="0080017E" w:rsidRPr="0080017E" w:rsidRDefault="0080017E" w:rsidP="0080017E">
      <w:pPr>
        <w:pStyle w:val="Default"/>
        <w:jc w:val="both"/>
        <w:rPr>
          <w:sz w:val="20"/>
          <w:szCs w:val="20"/>
        </w:rPr>
      </w:pPr>
      <w:r w:rsidRPr="0080017E">
        <w:rPr>
          <w:sz w:val="20"/>
          <w:szCs w:val="20"/>
        </w:rPr>
        <w:t>For online solid phase extraction, 100 µL of the extracted samples were injected and washed onto an extraction column (</w:t>
      </w:r>
      <w:proofErr w:type="spellStart"/>
      <w:r w:rsidRPr="0080017E">
        <w:rPr>
          <w:sz w:val="20"/>
          <w:szCs w:val="20"/>
        </w:rPr>
        <w:t>Zorbax</w:t>
      </w:r>
      <w:proofErr w:type="spellEnd"/>
      <w:r w:rsidRPr="0080017E">
        <w:rPr>
          <w:sz w:val="20"/>
          <w:szCs w:val="20"/>
        </w:rPr>
        <w:t xml:space="preserve"> XDB C8, 4.6 · 50 mm) with a mobile phase of 10% methanol containing 0.1% formic acid (mobile phase B) and 90% of 0.1% formic acid in HPLC grade water (mobile phase A). The flow was 3 mL/min and the temperature for the extraction column was set to room temperature. After 1 min, the switching valve was activated and the analytes were eluted in the backflush mode from the extraction column onto the 4.6 · 150 mm analytical column filled with C8 material of 5 </w:t>
      </w:r>
      <w:proofErr w:type="spellStart"/>
      <w:r w:rsidRPr="0080017E">
        <w:rPr>
          <w:sz w:val="20"/>
          <w:szCs w:val="20"/>
        </w:rPr>
        <w:t>μm</w:t>
      </w:r>
      <w:proofErr w:type="spellEnd"/>
      <w:r w:rsidRPr="0080017E">
        <w:rPr>
          <w:sz w:val="20"/>
          <w:szCs w:val="20"/>
        </w:rPr>
        <w:t xml:space="preserve"> particle size (</w:t>
      </w:r>
      <w:proofErr w:type="spellStart"/>
      <w:r w:rsidRPr="0080017E">
        <w:rPr>
          <w:sz w:val="20"/>
          <w:szCs w:val="20"/>
        </w:rPr>
        <w:t>Zorbax</w:t>
      </w:r>
      <w:proofErr w:type="spellEnd"/>
      <w:r w:rsidRPr="0080017E">
        <w:rPr>
          <w:sz w:val="20"/>
          <w:szCs w:val="20"/>
        </w:rPr>
        <w:t xml:space="preserve"> XDB C8, Agilent Technologies, Palo Alto, CA). </w:t>
      </w:r>
    </w:p>
    <w:p w14:paraId="4926AFEA" w14:textId="0C39E62F" w:rsidR="0080017E" w:rsidRPr="0080017E" w:rsidRDefault="0080017E" w:rsidP="0080017E">
      <w:pPr>
        <w:pStyle w:val="Default"/>
        <w:jc w:val="both"/>
        <w:rPr>
          <w:sz w:val="20"/>
          <w:szCs w:val="20"/>
        </w:rPr>
      </w:pPr>
      <w:r w:rsidRPr="0080017E">
        <w:rPr>
          <w:sz w:val="20"/>
          <w:szCs w:val="20"/>
        </w:rPr>
        <w:t>The gradient elution started from 40% of mobile phase B and increased to 55% within 3.7 min and 90% within 0.3</w:t>
      </w:r>
      <w:r w:rsidR="00FB1ADA">
        <w:rPr>
          <w:sz w:val="20"/>
          <w:szCs w:val="20"/>
        </w:rPr>
        <w:t xml:space="preserve"> </w:t>
      </w:r>
      <w:r w:rsidRPr="0080017E">
        <w:rPr>
          <w:sz w:val="20"/>
          <w:szCs w:val="20"/>
        </w:rPr>
        <w:t>min. The column was re-equilibrated to 40% after 0.5 min. The flow rate was 1.0 mL/</w:t>
      </w:r>
      <w:proofErr w:type="gramStart"/>
      <w:r w:rsidRPr="0080017E">
        <w:rPr>
          <w:sz w:val="20"/>
          <w:szCs w:val="20"/>
        </w:rPr>
        <w:t>min</w:t>
      </w:r>
      <w:proofErr w:type="gramEnd"/>
      <w:r w:rsidRPr="0080017E">
        <w:rPr>
          <w:sz w:val="20"/>
          <w:szCs w:val="20"/>
        </w:rPr>
        <w:t xml:space="preserve"> and the analytical column was kept at 40°C. For detection, the following ion transitions were monitored in the positive multiple reaction monitoring (MRM) mode: m/z= 235.2 [M+H]</w:t>
      </w:r>
      <w:r w:rsidRPr="0080017E">
        <w:rPr>
          <w:sz w:val="20"/>
          <w:szCs w:val="20"/>
          <w:vertAlign w:val="superscript"/>
        </w:rPr>
        <w:t>+</w:t>
      </w:r>
      <w:r w:rsidRPr="0080017E">
        <w:rPr>
          <w:sz w:val="20"/>
          <w:szCs w:val="20"/>
        </w:rPr>
        <w:t xml:space="preserve"> </w:t>
      </w:r>
      <w:r w:rsidRPr="0080017E">
        <w:rPr>
          <w:sz w:val="20"/>
          <w:szCs w:val="20"/>
        </w:rPr>
        <w:sym w:font="Wingdings" w:char="F0E0"/>
      </w:r>
      <w:r w:rsidRPr="0080017E">
        <w:rPr>
          <w:sz w:val="20"/>
          <w:szCs w:val="20"/>
        </w:rPr>
        <w:t>86.1 (lidocaine), m/z= 207.2 [M+H]</w:t>
      </w:r>
      <w:r w:rsidRPr="0080017E">
        <w:rPr>
          <w:sz w:val="20"/>
          <w:szCs w:val="20"/>
          <w:vertAlign w:val="superscript"/>
        </w:rPr>
        <w:t>+</w:t>
      </w:r>
      <w:r w:rsidRPr="0080017E">
        <w:rPr>
          <w:sz w:val="20"/>
          <w:szCs w:val="20"/>
        </w:rPr>
        <w:t xml:space="preserve"> </w:t>
      </w:r>
      <w:r w:rsidRPr="0080017E">
        <w:rPr>
          <w:sz w:val="20"/>
          <w:szCs w:val="20"/>
        </w:rPr>
        <w:sym w:font="Wingdings" w:char="F0E0"/>
      </w:r>
      <w:r w:rsidRPr="0080017E">
        <w:rPr>
          <w:sz w:val="20"/>
          <w:szCs w:val="20"/>
        </w:rPr>
        <w:t>58.0 (MEGX), m/z= 179.1 [M+H]</w:t>
      </w:r>
      <w:r w:rsidRPr="0080017E">
        <w:rPr>
          <w:sz w:val="20"/>
          <w:szCs w:val="20"/>
          <w:vertAlign w:val="superscript"/>
        </w:rPr>
        <w:t>+</w:t>
      </w:r>
      <w:r w:rsidRPr="0080017E">
        <w:rPr>
          <w:sz w:val="20"/>
          <w:szCs w:val="20"/>
        </w:rPr>
        <w:t xml:space="preserve"> </w:t>
      </w:r>
      <w:r w:rsidRPr="0080017E">
        <w:rPr>
          <w:sz w:val="20"/>
          <w:szCs w:val="20"/>
        </w:rPr>
        <w:sym w:font="Wingdings" w:char="F0E0"/>
      </w:r>
      <w:r w:rsidRPr="0080017E">
        <w:rPr>
          <w:sz w:val="20"/>
          <w:szCs w:val="20"/>
        </w:rPr>
        <w:t>122.0 (GX), m/z= 241.2 [M+H]</w:t>
      </w:r>
      <w:r w:rsidRPr="0080017E">
        <w:rPr>
          <w:sz w:val="20"/>
          <w:szCs w:val="20"/>
          <w:vertAlign w:val="superscript"/>
        </w:rPr>
        <w:t>+</w:t>
      </w:r>
      <w:r w:rsidRPr="0080017E">
        <w:rPr>
          <w:sz w:val="20"/>
          <w:szCs w:val="20"/>
        </w:rPr>
        <w:t xml:space="preserve"> </w:t>
      </w:r>
      <w:r w:rsidRPr="0080017E">
        <w:rPr>
          <w:sz w:val="20"/>
          <w:szCs w:val="20"/>
        </w:rPr>
        <w:sym w:font="Wingdings" w:char="F0E0"/>
      </w:r>
      <w:r w:rsidRPr="0080017E">
        <w:rPr>
          <w:sz w:val="20"/>
          <w:szCs w:val="20"/>
        </w:rPr>
        <w:t>86.1 (lidocaine-d6) and m/z= 212.2 [M+H]</w:t>
      </w:r>
      <w:r w:rsidRPr="0080017E">
        <w:rPr>
          <w:sz w:val="20"/>
          <w:szCs w:val="20"/>
          <w:vertAlign w:val="superscript"/>
        </w:rPr>
        <w:t>+</w:t>
      </w:r>
      <w:r w:rsidRPr="0080017E">
        <w:rPr>
          <w:sz w:val="20"/>
          <w:szCs w:val="20"/>
        </w:rPr>
        <w:t xml:space="preserve"> </w:t>
      </w:r>
      <w:r w:rsidRPr="0080017E">
        <w:rPr>
          <w:sz w:val="20"/>
          <w:szCs w:val="20"/>
        </w:rPr>
        <w:sym w:font="Wingdings" w:char="F0E0"/>
      </w:r>
      <w:r w:rsidRPr="0080017E">
        <w:rPr>
          <w:sz w:val="20"/>
          <w:szCs w:val="20"/>
        </w:rPr>
        <w:t xml:space="preserve">63.0 (MEGX-d5). </w:t>
      </w:r>
      <w:proofErr w:type="spellStart"/>
      <w:r w:rsidRPr="0080017E">
        <w:rPr>
          <w:sz w:val="20"/>
          <w:szCs w:val="20"/>
        </w:rPr>
        <w:t>Declustering</w:t>
      </w:r>
      <w:proofErr w:type="spellEnd"/>
      <w:r w:rsidRPr="0080017E">
        <w:rPr>
          <w:sz w:val="20"/>
          <w:szCs w:val="20"/>
        </w:rPr>
        <w:t xml:space="preserve"> potentials and collision energies were set to 80V and 25V for lidocaine and lidocaine-d6, 51V and 27V for MEGX and MEGX-d5, 41V and 19V for GX.</w:t>
      </w:r>
    </w:p>
    <w:p w14:paraId="6C376DA9" w14:textId="77777777" w:rsidR="0080017E" w:rsidRPr="0080017E" w:rsidRDefault="0080017E" w:rsidP="0080017E">
      <w:pPr>
        <w:pStyle w:val="NoSpacing"/>
        <w:jc w:val="both"/>
        <w:rPr>
          <w:rFonts w:ascii="Arial" w:hAnsi="Arial" w:cs="Arial"/>
          <w:sz w:val="20"/>
          <w:szCs w:val="20"/>
        </w:rPr>
      </w:pPr>
      <w:r w:rsidRPr="0080017E">
        <w:rPr>
          <w:rFonts w:ascii="Arial" w:hAnsi="Arial" w:cs="Arial"/>
          <w:sz w:val="20"/>
          <w:szCs w:val="20"/>
        </w:rPr>
        <w:t xml:space="preserve">Lidocaine and lidocaine metabolites concentrations were quantified using the two calibration curves included in each analytical run and that were constructed by plotting nominal concentration </w:t>
      </w:r>
      <w:r w:rsidRPr="0080017E">
        <w:rPr>
          <w:rFonts w:ascii="Arial" w:hAnsi="Arial" w:cs="Arial"/>
          <w:i/>
          <w:iCs/>
          <w:sz w:val="20"/>
          <w:szCs w:val="20"/>
        </w:rPr>
        <w:t xml:space="preserve">versus </w:t>
      </w:r>
      <w:r w:rsidRPr="0080017E">
        <w:rPr>
          <w:rFonts w:ascii="Arial" w:hAnsi="Arial" w:cs="Arial"/>
          <w:iCs/>
          <w:sz w:val="20"/>
          <w:szCs w:val="20"/>
        </w:rPr>
        <w:t xml:space="preserve">the </w:t>
      </w:r>
      <w:r w:rsidRPr="0080017E">
        <w:rPr>
          <w:rFonts w:ascii="Arial" w:hAnsi="Arial" w:cs="Arial"/>
          <w:sz w:val="20"/>
          <w:szCs w:val="20"/>
        </w:rPr>
        <w:t xml:space="preserve">analyte/ internal standard peak area ratios (response) using a quadratic fit and 1/x weight. All calculations were carried out using the AB </w:t>
      </w:r>
      <w:proofErr w:type="spellStart"/>
      <w:r w:rsidRPr="0080017E">
        <w:rPr>
          <w:rFonts w:ascii="Arial" w:hAnsi="Arial" w:cs="Arial"/>
          <w:sz w:val="20"/>
          <w:szCs w:val="20"/>
        </w:rPr>
        <w:t>Sciex</w:t>
      </w:r>
      <w:proofErr w:type="spellEnd"/>
      <w:r w:rsidRPr="0080017E">
        <w:rPr>
          <w:rFonts w:ascii="Arial" w:hAnsi="Arial" w:cs="Arial"/>
          <w:sz w:val="20"/>
          <w:szCs w:val="20"/>
        </w:rPr>
        <w:t xml:space="preserve"> Analyst Software (version 1.6.2). The range of reliable quantification </w:t>
      </w:r>
      <w:r w:rsidRPr="0080017E">
        <w:rPr>
          <w:rFonts w:ascii="Arial" w:hAnsi="Arial" w:cs="Arial"/>
          <w:sz w:val="20"/>
          <w:szCs w:val="20"/>
        </w:rPr>
        <w:lastRenderedPageBreak/>
        <w:t xml:space="preserve">was (lower limit of quantification- upper limit of quantification): 25 – 10,000 ng/mL for Lidocaine, MEGX and GX. There </w:t>
      </w:r>
      <w:proofErr w:type="gramStart"/>
      <w:r w:rsidRPr="0080017E">
        <w:rPr>
          <w:rFonts w:ascii="Arial" w:hAnsi="Arial" w:cs="Arial"/>
          <w:sz w:val="20"/>
          <w:szCs w:val="20"/>
        </w:rPr>
        <w:t>were</w:t>
      </w:r>
      <w:proofErr w:type="gramEnd"/>
      <w:r w:rsidRPr="0080017E">
        <w:rPr>
          <w:rFonts w:ascii="Arial" w:hAnsi="Arial" w:cs="Arial"/>
          <w:sz w:val="20"/>
          <w:szCs w:val="20"/>
        </w:rPr>
        <w:t xml:space="preserve"> no significant carry-over, matrix effects or matrix interferences. The extracted samples were stable in the autosampler at 4°C for at least 48 hours.</w:t>
      </w:r>
    </w:p>
    <w:p w14:paraId="2576DB71" w14:textId="77777777" w:rsidR="0080017E" w:rsidRPr="0080017E" w:rsidRDefault="0080017E" w:rsidP="0080017E">
      <w:pPr>
        <w:pStyle w:val="NoSpacing"/>
        <w:jc w:val="both"/>
        <w:rPr>
          <w:rFonts w:ascii="Arial" w:hAnsi="Arial" w:cs="Arial"/>
          <w:sz w:val="20"/>
          <w:szCs w:val="20"/>
        </w:rPr>
      </w:pPr>
    </w:p>
    <w:p w14:paraId="5BCD3905" w14:textId="77777777" w:rsidR="0080017E" w:rsidRPr="0080017E" w:rsidRDefault="0080017E" w:rsidP="0080017E">
      <w:pPr>
        <w:pStyle w:val="NoSpacing"/>
        <w:jc w:val="both"/>
        <w:rPr>
          <w:rFonts w:ascii="Arial" w:hAnsi="Arial" w:cs="Arial"/>
          <w:sz w:val="20"/>
          <w:szCs w:val="20"/>
        </w:rPr>
      </w:pPr>
      <w:r w:rsidRPr="0080017E">
        <w:rPr>
          <w:rFonts w:ascii="Arial" w:hAnsi="Arial" w:cs="Arial"/>
          <w:sz w:val="20"/>
          <w:szCs w:val="20"/>
        </w:rPr>
        <w:t>All sample runs met the following acceptance criteria:</w:t>
      </w:r>
    </w:p>
    <w:p w14:paraId="6B114CC8" w14:textId="77777777" w:rsidR="0080017E" w:rsidRPr="0080017E" w:rsidRDefault="0080017E" w:rsidP="0080017E">
      <w:pPr>
        <w:numPr>
          <w:ilvl w:val="0"/>
          <w:numId w:val="1"/>
        </w:numPr>
        <w:jc w:val="both"/>
        <w:rPr>
          <w:rFonts w:ascii="Arial" w:hAnsi="Arial" w:cs="Arial"/>
          <w:sz w:val="20"/>
          <w:szCs w:val="20"/>
        </w:rPr>
      </w:pPr>
      <w:r w:rsidRPr="0080017E">
        <w:rPr>
          <w:rFonts w:ascii="Arial" w:hAnsi="Arial" w:cs="Arial"/>
          <w:sz w:val="20"/>
          <w:szCs w:val="20"/>
        </w:rPr>
        <w:t>The assay was under control and all corrective actions, if applicable, had successfully been resolved.</w:t>
      </w:r>
    </w:p>
    <w:p w14:paraId="11BB77F0" w14:textId="77777777" w:rsidR="0080017E" w:rsidRPr="0080017E" w:rsidRDefault="0080017E" w:rsidP="0080017E">
      <w:pPr>
        <w:numPr>
          <w:ilvl w:val="0"/>
          <w:numId w:val="1"/>
        </w:numPr>
        <w:jc w:val="both"/>
        <w:rPr>
          <w:rFonts w:ascii="Arial" w:hAnsi="Arial" w:cs="Arial"/>
          <w:sz w:val="20"/>
          <w:szCs w:val="20"/>
        </w:rPr>
      </w:pPr>
      <w:r w:rsidRPr="0080017E">
        <w:rPr>
          <w:rFonts w:ascii="Arial" w:hAnsi="Arial" w:cs="Arial"/>
          <w:sz w:val="20"/>
          <w:szCs w:val="20"/>
        </w:rPr>
        <w:t>Acceptable system/ instrument suitability test</w:t>
      </w:r>
    </w:p>
    <w:p w14:paraId="5FF4FF96" w14:textId="77777777" w:rsidR="0080017E" w:rsidRPr="0080017E" w:rsidRDefault="0080017E" w:rsidP="0080017E">
      <w:pPr>
        <w:numPr>
          <w:ilvl w:val="0"/>
          <w:numId w:val="1"/>
        </w:numPr>
        <w:jc w:val="both"/>
        <w:rPr>
          <w:rFonts w:ascii="Arial" w:hAnsi="Arial" w:cs="Arial"/>
          <w:sz w:val="20"/>
          <w:szCs w:val="20"/>
        </w:rPr>
      </w:pPr>
      <w:r w:rsidRPr="0080017E">
        <w:rPr>
          <w:rFonts w:ascii="Arial" w:hAnsi="Arial" w:cs="Arial"/>
          <w:sz w:val="20"/>
          <w:szCs w:val="20"/>
        </w:rPr>
        <w:t>Linearity of the calibration curve was better than r= 0.99.</w:t>
      </w:r>
    </w:p>
    <w:p w14:paraId="54FE0FAF" w14:textId="77777777" w:rsidR="0080017E" w:rsidRPr="0080017E" w:rsidRDefault="0080017E" w:rsidP="0080017E">
      <w:pPr>
        <w:numPr>
          <w:ilvl w:val="0"/>
          <w:numId w:val="1"/>
        </w:numPr>
        <w:jc w:val="both"/>
        <w:rPr>
          <w:rFonts w:ascii="Arial" w:hAnsi="Arial" w:cs="Arial"/>
          <w:sz w:val="20"/>
          <w:szCs w:val="20"/>
        </w:rPr>
      </w:pPr>
      <w:r w:rsidRPr="0080017E">
        <w:rPr>
          <w:rFonts w:ascii="Arial" w:hAnsi="Arial" w:cs="Arial"/>
          <w:sz w:val="20"/>
          <w:szCs w:val="20"/>
        </w:rPr>
        <w:t>Low calibration sample signal to noise ratio of at least 8:1.</w:t>
      </w:r>
    </w:p>
    <w:p w14:paraId="31AC7F85" w14:textId="77777777" w:rsidR="0080017E" w:rsidRPr="0080017E" w:rsidRDefault="0080017E" w:rsidP="0080017E">
      <w:pPr>
        <w:pStyle w:val="CommentText"/>
        <w:numPr>
          <w:ilvl w:val="0"/>
          <w:numId w:val="1"/>
        </w:numPr>
        <w:jc w:val="both"/>
        <w:rPr>
          <w:rFonts w:ascii="Arial" w:hAnsi="Arial" w:cs="Arial"/>
        </w:rPr>
      </w:pPr>
      <w:r w:rsidRPr="0080017E">
        <w:rPr>
          <w:rFonts w:ascii="Arial" w:hAnsi="Arial" w:cs="Arial"/>
        </w:rPr>
        <w:t>No significant interference in blank or zero samples (less than 20% of the signal at the lower limit of quantification and the response at the retention time of the internal standard in the blank did not exceed 5% of the average internal standard responses in the calibrators and quality control samples).</w:t>
      </w:r>
    </w:p>
    <w:p w14:paraId="41A4EE14" w14:textId="77777777" w:rsidR="0080017E" w:rsidRPr="0080017E" w:rsidRDefault="0080017E" w:rsidP="0080017E">
      <w:pPr>
        <w:numPr>
          <w:ilvl w:val="0"/>
          <w:numId w:val="1"/>
        </w:numPr>
        <w:jc w:val="both"/>
        <w:rPr>
          <w:rFonts w:ascii="Arial" w:hAnsi="Arial" w:cs="Arial"/>
          <w:sz w:val="20"/>
          <w:szCs w:val="20"/>
        </w:rPr>
      </w:pPr>
      <w:r w:rsidRPr="0080017E">
        <w:rPr>
          <w:rFonts w:ascii="Arial" w:hAnsi="Arial" w:cs="Arial"/>
          <w:sz w:val="20"/>
          <w:szCs w:val="20"/>
        </w:rPr>
        <w:t>No significant carry-over (less than 20% of the signal at the lower limit of quantification)</w:t>
      </w:r>
    </w:p>
    <w:p w14:paraId="6F4E4A28" w14:textId="77777777" w:rsidR="0080017E" w:rsidRPr="0080017E" w:rsidRDefault="0080017E" w:rsidP="0080017E">
      <w:pPr>
        <w:numPr>
          <w:ilvl w:val="0"/>
          <w:numId w:val="1"/>
        </w:numPr>
        <w:jc w:val="both"/>
        <w:rPr>
          <w:rFonts w:ascii="Arial" w:hAnsi="Arial" w:cs="Arial"/>
          <w:sz w:val="20"/>
          <w:szCs w:val="20"/>
        </w:rPr>
      </w:pPr>
      <w:r w:rsidRPr="0080017E">
        <w:rPr>
          <w:rFonts w:ascii="Arial" w:hAnsi="Arial" w:cs="Arial"/>
          <w:sz w:val="20"/>
          <w:szCs w:val="20"/>
        </w:rPr>
        <w:t>Accuracy of 3/4 of calibration samples (=75%) was better than ±15% from nominal, except for the LLOQ sample, which was better than ±20%.</w:t>
      </w:r>
    </w:p>
    <w:p w14:paraId="297FD905" w14:textId="77777777" w:rsidR="0080017E" w:rsidRPr="0080017E" w:rsidRDefault="0080017E" w:rsidP="0080017E">
      <w:pPr>
        <w:numPr>
          <w:ilvl w:val="0"/>
          <w:numId w:val="1"/>
        </w:numPr>
        <w:jc w:val="both"/>
        <w:rPr>
          <w:rFonts w:ascii="Arial" w:hAnsi="Arial" w:cs="Arial"/>
          <w:sz w:val="20"/>
          <w:szCs w:val="20"/>
        </w:rPr>
      </w:pPr>
      <w:r w:rsidRPr="0080017E">
        <w:rPr>
          <w:rFonts w:ascii="Arial" w:hAnsi="Arial" w:cs="Arial"/>
          <w:sz w:val="20"/>
          <w:szCs w:val="20"/>
        </w:rPr>
        <w:t xml:space="preserve">2/3 quality control samples in an analytical batch were within 15% of the nominal concentration </w:t>
      </w:r>
    </w:p>
    <w:p w14:paraId="0E7F2A32" w14:textId="2AED4ED6" w:rsidR="005B7D93" w:rsidRPr="003C351C" w:rsidRDefault="0080017E" w:rsidP="003C351C">
      <w:pPr>
        <w:numPr>
          <w:ilvl w:val="0"/>
          <w:numId w:val="1"/>
        </w:numPr>
        <w:jc w:val="both"/>
        <w:rPr>
          <w:rFonts w:ascii="Arial" w:hAnsi="Arial" w:cs="Arial"/>
          <w:sz w:val="20"/>
          <w:szCs w:val="20"/>
        </w:rPr>
      </w:pPr>
      <w:r w:rsidRPr="0080017E">
        <w:rPr>
          <w:rFonts w:ascii="Arial" w:hAnsi="Arial" w:cs="Arial"/>
          <w:sz w:val="20"/>
          <w:szCs w:val="20"/>
        </w:rPr>
        <w:t>≥ 50% of QCs per level were within ± 15% of their nominal concentrations</w:t>
      </w:r>
      <w:r w:rsidR="003C351C">
        <w:rPr>
          <w:rFonts w:ascii="Arial" w:hAnsi="Arial" w:cs="Arial"/>
          <w:sz w:val="20"/>
          <w:szCs w:val="20"/>
        </w:rPr>
        <w:t>.</w:t>
      </w:r>
    </w:p>
    <w:p w14:paraId="653EB103" w14:textId="672FCB9D" w:rsidR="00F457BE" w:rsidRPr="00FA5FFA" w:rsidRDefault="00F457BE" w:rsidP="00672093">
      <w:pPr>
        <w:rPr>
          <w:rFonts w:ascii="Arial" w:hAnsi="Arial"/>
          <w:b/>
          <w:bCs/>
          <w:color w:val="000000" w:themeColor="text1"/>
        </w:rPr>
      </w:pPr>
    </w:p>
    <w:sectPr w:rsidR="00F457BE" w:rsidRPr="00FA5FFA" w:rsidSect="002735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142EC3"/>
    <w:multiLevelType w:val="hybridMultilevel"/>
    <w:tmpl w:val="4F9A514C"/>
    <w:lvl w:ilvl="0" w:tplc="AFFE4DC8">
      <w:start w:val="6"/>
      <w:numFmt w:val="bullet"/>
      <w:lvlText w:val="-"/>
      <w:lvlJc w:val="left"/>
      <w:pPr>
        <w:tabs>
          <w:tab w:val="num" w:pos="144"/>
        </w:tabs>
        <w:ind w:left="288" w:hanging="288"/>
      </w:pPr>
      <w:rPr>
        <w:rFonts w:ascii="Times New Roman" w:hAnsi="Times New Roman" w:cs="Times New Roman"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cs="Wingdings" w:hint="default"/>
      </w:rPr>
    </w:lvl>
    <w:lvl w:ilvl="3" w:tplc="0409000F" w:tentative="1">
      <w:start w:val="1"/>
      <w:numFmt w:val="bullet"/>
      <w:lvlText w:val=""/>
      <w:lvlJc w:val="left"/>
      <w:pPr>
        <w:tabs>
          <w:tab w:val="num" w:pos="2880"/>
        </w:tabs>
        <w:ind w:left="2880" w:hanging="360"/>
      </w:pPr>
      <w:rPr>
        <w:rFonts w:ascii="Symbol" w:hAnsi="Symbol" w:cs="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cs="Wingdings" w:hint="default"/>
      </w:rPr>
    </w:lvl>
    <w:lvl w:ilvl="6" w:tplc="0409000F" w:tentative="1">
      <w:start w:val="1"/>
      <w:numFmt w:val="bullet"/>
      <w:lvlText w:val=""/>
      <w:lvlJc w:val="left"/>
      <w:pPr>
        <w:tabs>
          <w:tab w:val="num" w:pos="5040"/>
        </w:tabs>
        <w:ind w:left="5040" w:hanging="360"/>
      </w:pPr>
      <w:rPr>
        <w:rFonts w:ascii="Symbol" w:hAnsi="Symbol" w:cs="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ew England J Medicin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z09f9pda9e25ve5xwdvsvwla0pa5p2dpdf2&quot;&gt;My EndNote Library&lt;record-ids&gt;&lt;item&gt;3055&lt;/item&gt;&lt;/record-ids&gt;&lt;/item&gt;&lt;/Libraries&gt;"/>
  </w:docVars>
  <w:rsids>
    <w:rsidRoot w:val="00D54DDD"/>
    <w:rsid w:val="00046499"/>
    <w:rsid w:val="00047710"/>
    <w:rsid w:val="00047EA7"/>
    <w:rsid w:val="000517E7"/>
    <w:rsid w:val="000528B2"/>
    <w:rsid w:val="000633BF"/>
    <w:rsid w:val="00066B2D"/>
    <w:rsid w:val="000706D2"/>
    <w:rsid w:val="000A0A90"/>
    <w:rsid w:val="000A5686"/>
    <w:rsid w:val="000A5E8B"/>
    <w:rsid w:val="000C5396"/>
    <w:rsid w:val="000C6A1A"/>
    <w:rsid w:val="000D11BA"/>
    <w:rsid w:val="000D4759"/>
    <w:rsid w:val="000F630E"/>
    <w:rsid w:val="001122CB"/>
    <w:rsid w:val="00136F93"/>
    <w:rsid w:val="001418B0"/>
    <w:rsid w:val="00155452"/>
    <w:rsid w:val="001639F0"/>
    <w:rsid w:val="001746B0"/>
    <w:rsid w:val="001925D6"/>
    <w:rsid w:val="001B067D"/>
    <w:rsid w:val="001C6E05"/>
    <w:rsid w:val="001D1574"/>
    <w:rsid w:val="001D54BA"/>
    <w:rsid w:val="001E56ED"/>
    <w:rsid w:val="001F20EB"/>
    <w:rsid w:val="00215630"/>
    <w:rsid w:val="00215B47"/>
    <w:rsid w:val="00232BBB"/>
    <w:rsid w:val="002557A4"/>
    <w:rsid w:val="002735EB"/>
    <w:rsid w:val="00273A6D"/>
    <w:rsid w:val="002814A4"/>
    <w:rsid w:val="00281DE3"/>
    <w:rsid w:val="00287B51"/>
    <w:rsid w:val="002A1A1E"/>
    <w:rsid w:val="002A365C"/>
    <w:rsid w:val="002A3AA0"/>
    <w:rsid w:val="002A75E8"/>
    <w:rsid w:val="002A7FDD"/>
    <w:rsid w:val="002C0506"/>
    <w:rsid w:val="002C2ADE"/>
    <w:rsid w:val="002C2FB3"/>
    <w:rsid w:val="002E6322"/>
    <w:rsid w:val="002F6FE1"/>
    <w:rsid w:val="003066A0"/>
    <w:rsid w:val="00311047"/>
    <w:rsid w:val="0031181D"/>
    <w:rsid w:val="00336AA0"/>
    <w:rsid w:val="00336D40"/>
    <w:rsid w:val="0035741E"/>
    <w:rsid w:val="00357467"/>
    <w:rsid w:val="00357C88"/>
    <w:rsid w:val="00360E95"/>
    <w:rsid w:val="00367857"/>
    <w:rsid w:val="003728F6"/>
    <w:rsid w:val="003A5046"/>
    <w:rsid w:val="003A60BF"/>
    <w:rsid w:val="003C351C"/>
    <w:rsid w:val="003D241B"/>
    <w:rsid w:val="003D6958"/>
    <w:rsid w:val="003E1CDA"/>
    <w:rsid w:val="003E1F9F"/>
    <w:rsid w:val="003E52FA"/>
    <w:rsid w:val="003F3FED"/>
    <w:rsid w:val="003F6548"/>
    <w:rsid w:val="0040454C"/>
    <w:rsid w:val="00454EEF"/>
    <w:rsid w:val="0046294A"/>
    <w:rsid w:val="004836AE"/>
    <w:rsid w:val="0049435B"/>
    <w:rsid w:val="004A2D80"/>
    <w:rsid w:val="004B163E"/>
    <w:rsid w:val="004C1CCA"/>
    <w:rsid w:val="004D4F73"/>
    <w:rsid w:val="004E2A9D"/>
    <w:rsid w:val="004E4486"/>
    <w:rsid w:val="004E5056"/>
    <w:rsid w:val="00555B6E"/>
    <w:rsid w:val="00574EF7"/>
    <w:rsid w:val="00577685"/>
    <w:rsid w:val="005815C4"/>
    <w:rsid w:val="00587E50"/>
    <w:rsid w:val="005B76AD"/>
    <w:rsid w:val="005B7D93"/>
    <w:rsid w:val="005D23C8"/>
    <w:rsid w:val="005D2CF2"/>
    <w:rsid w:val="005D71F5"/>
    <w:rsid w:val="005F01C9"/>
    <w:rsid w:val="005F6A97"/>
    <w:rsid w:val="00607A6E"/>
    <w:rsid w:val="0061207B"/>
    <w:rsid w:val="00617B63"/>
    <w:rsid w:val="00652024"/>
    <w:rsid w:val="00667827"/>
    <w:rsid w:val="00667B52"/>
    <w:rsid w:val="00672093"/>
    <w:rsid w:val="00676295"/>
    <w:rsid w:val="006779F8"/>
    <w:rsid w:val="006930A8"/>
    <w:rsid w:val="0069492B"/>
    <w:rsid w:val="006A3F0A"/>
    <w:rsid w:val="006A55B0"/>
    <w:rsid w:val="006B3254"/>
    <w:rsid w:val="00722068"/>
    <w:rsid w:val="00794EFD"/>
    <w:rsid w:val="007A1DEA"/>
    <w:rsid w:val="007A60DA"/>
    <w:rsid w:val="007B47CA"/>
    <w:rsid w:val="007B5E75"/>
    <w:rsid w:val="007C3574"/>
    <w:rsid w:val="007C4387"/>
    <w:rsid w:val="007C4404"/>
    <w:rsid w:val="007C6DFA"/>
    <w:rsid w:val="007F1801"/>
    <w:rsid w:val="007F234A"/>
    <w:rsid w:val="007F5FCC"/>
    <w:rsid w:val="007F7619"/>
    <w:rsid w:val="0080017E"/>
    <w:rsid w:val="00816A38"/>
    <w:rsid w:val="00830F53"/>
    <w:rsid w:val="00833293"/>
    <w:rsid w:val="00854151"/>
    <w:rsid w:val="00861F78"/>
    <w:rsid w:val="00881B7F"/>
    <w:rsid w:val="00896346"/>
    <w:rsid w:val="008E7130"/>
    <w:rsid w:val="00906B93"/>
    <w:rsid w:val="00914B3E"/>
    <w:rsid w:val="00922522"/>
    <w:rsid w:val="009346BA"/>
    <w:rsid w:val="00935C63"/>
    <w:rsid w:val="0094043D"/>
    <w:rsid w:val="00941A56"/>
    <w:rsid w:val="00966F88"/>
    <w:rsid w:val="00970C5B"/>
    <w:rsid w:val="00976403"/>
    <w:rsid w:val="009A4450"/>
    <w:rsid w:val="009A6B14"/>
    <w:rsid w:val="009C02CE"/>
    <w:rsid w:val="009C12FC"/>
    <w:rsid w:val="009C3F88"/>
    <w:rsid w:val="009E3BE8"/>
    <w:rsid w:val="009F2282"/>
    <w:rsid w:val="00A001B0"/>
    <w:rsid w:val="00A023AD"/>
    <w:rsid w:val="00A04065"/>
    <w:rsid w:val="00A110A8"/>
    <w:rsid w:val="00A303C1"/>
    <w:rsid w:val="00A32135"/>
    <w:rsid w:val="00A35248"/>
    <w:rsid w:val="00A40DB8"/>
    <w:rsid w:val="00A41227"/>
    <w:rsid w:val="00A45DC0"/>
    <w:rsid w:val="00A64FE8"/>
    <w:rsid w:val="00A67CB3"/>
    <w:rsid w:val="00A9727C"/>
    <w:rsid w:val="00AB5C8C"/>
    <w:rsid w:val="00AC0D05"/>
    <w:rsid w:val="00AE2613"/>
    <w:rsid w:val="00B00AE6"/>
    <w:rsid w:val="00B13B12"/>
    <w:rsid w:val="00B311B3"/>
    <w:rsid w:val="00B37937"/>
    <w:rsid w:val="00B424F1"/>
    <w:rsid w:val="00B573B7"/>
    <w:rsid w:val="00B634BE"/>
    <w:rsid w:val="00B867EE"/>
    <w:rsid w:val="00B9378C"/>
    <w:rsid w:val="00B93D83"/>
    <w:rsid w:val="00BA0AE4"/>
    <w:rsid w:val="00BA4058"/>
    <w:rsid w:val="00BB7798"/>
    <w:rsid w:val="00BD44A9"/>
    <w:rsid w:val="00BE075E"/>
    <w:rsid w:val="00BE6ABE"/>
    <w:rsid w:val="00C032C7"/>
    <w:rsid w:val="00C279FF"/>
    <w:rsid w:val="00C311BF"/>
    <w:rsid w:val="00C54CCD"/>
    <w:rsid w:val="00C63484"/>
    <w:rsid w:val="00C746EB"/>
    <w:rsid w:val="00C87F38"/>
    <w:rsid w:val="00CB0F31"/>
    <w:rsid w:val="00CB2D72"/>
    <w:rsid w:val="00CE205E"/>
    <w:rsid w:val="00D1484F"/>
    <w:rsid w:val="00D32A2B"/>
    <w:rsid w:val="00D50883"/>
    <w:rsid w:val="00D54DDD"/>
    <w:rsid w:val="00D5557E"/>
    <w:rsid w:val="00D674F8"/>
    <w:rsid w:val="00D711EB"/>
    <w:rsid w:val="00D877C6"/>
    <w:rsid w:val="00DA0A75"/>
    <w:rsid w:val="00DA0EFD"/>
    <w:rsid w:val="00DA5EF9"/>
    <w:rsid w:val="00DA7D7D"/>
    <w:rsid w:val="00DB3FF2"/>
    <w:rsid w:val="00DD0143"/>
    <w:rsid w:val="00DE2E1F"/>
    <w:rsid w:val="00E35054"/>
    <w:rsid w:val="00E5689A"/>
    <w:rsid w:val="00E56F1A"/>
    <w:rsid w:val="00E64C14"/>
    <w:rsid w:val="00E65A45"/>
    <w:rsid w:val="00E80A71"/>
    <w:rsid w:val="00EB314E"/>
    <w:rsid w:val="00EB44B1"/>
    <w:rsid w:val="00EE43E9"/>
    <w:rsid w:val="00F071D2"/>
    <w:rsid w:val="00F107AF"/>
    <w:rsid w:val="00F146AB"/>
    <w:rsid w:val="00F358EA"/>
    <w:rsid w:val="00F457BE"/>
    <w:rsid w:val="00F64D0E"/>
    <w:rsid w:val="00F70191"/>
    <w:rsid w:val="00F70A8E"/>
    <w:rsid w:val="00F71304"/>
    <w:rsid w:val="00F7651A"/>
    <w:rsid w:val="00F76B1D"/>
    <w:rsid w:val="00F821E9"/>
    <w:rsid w:val="00F8443F"/>
    <w:rsid w:val="00F85E90"/>
    <w:rsid w:val="00FA5FFA"/>
    <w:rsid w:val="00FA6018"/>
    <w:rsid w:val="00FB1ADA"/>
    <w:rsid w:val="00FC0B4E"/>
    <w:rsid w:val="00FE6749"/>
    <w:rsid w:val="00FF076B"/>
    <w:rsid w:val="00FF1031"/>
    <w:rsid w:val="00FF6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6A98D"/>
  <w15:chartTrackingRefBased/>
  <w15:docId w15:val="{D649CD34-9008-B844-8BD5-C696EFDD2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D241B"/>
    <w:rPr>
      <w:sz w:val="16"/>
      <w:szCs w:val="16"/>
    </w:rPr>
  </w:style>
  <w:style w:type="paragraph" w:styleId="CommentText">
    <w:name w:val="annotation text"/>
    <w:aliases w:val=" Char1"/>
    <w:basedOn w:val="Normal"/>
    <w:link w:val="CommentTextChar"/>
    <w:semiHidden/>
    <w:unhideWhenUsed/>
    <w:rsid w:val="003D241B"/>
    <w:rPr>
      <w:rFonts w:ascii="Times New Roman" w:hAnsi="Times New Roman" w:cs="Times New Roman"/>
      <w:sz w:val="20"/>
      <w:szCs w:val="20"/>
    </w:rPr>
  </w:style>
  <w:style w:type="character" w:customStyle="1" w:styleId="CommentTextChar">
    <w:name w:val="Comment Text Char"/>
    <w:aliases w:val=" Char1 Char"/>
    <w:basedOn w:val="DefaultParagraphFont"/>
    <w:link w:val="CommentText"/>
    <w:semiHidden/>
    <w:rsid w:val="003D241B"/>
    <w:rPr>
      <w:rFonts w:ascii="Times New Roman" w:hAnsi="Times New Roman" w:cs="Times New Roman"/>
      <w:sz w:val="20"/>
      <w:szCs w:val="20"/>
    </w:rPr>
  </w:style>
  <w:style w:type="paragraph" w:customStyle="1" w:styleId="EndNoteBibliographyTitle">
    <w:name w:val="EndNote Bibliography Title"/>
    <w:basedOn w:val="Normal"/>
    <w:link w:val="EndNoteBibliographyTitleChar"/>
    <w:rsid w:val="00311047"/>
    <w:pPr>
      <w:jc w:val="center"/>
    </w:pPr>
    <w:rPr>
      <w:rFonts w:ascii="Calibri" w:hAnsi="Calibri" w:cs="Calibri"/>
    </w:rPr>
  </w:style>
  <w:style w:type="character" w:customStyle="1" w:styleId="EndNoteBibliographyTitleChar">
    <w:name w:val="EndNote Bibliography Title Char"/>
    <w:basedOn w:val="DefaultParagraphFont"/>
    <w:link w:val="EndNoteBibliographyTitle"/>
    <w:rsid w:val="00311047"/>
    <w:rPr>
      <w:rFonts w:ascii="Calibri" w:hAnsi="Calibri" w:cs="Calibri"/>
    </w:rPr>
  </w:style>
  <w:style w:type="paragraph" w:customStyle="1" w:styleId="EndNoteBibliography">
    <w:name w:val="EndNote Bibliography"/>
    <w:basedOn w:val="Normal"/>
    <w:link w:val="EndNoteBibliographyChar"/>
    <w:rsid w:val="00311047"/>
    <w:rPr>
      <w:rFonts w:ascii="Calibri" w:hAnsi="Calibri" w:cs="Calibri"/>
    </w:rPr>
  </w:style>
  <w:style w:type="character" w:customStyle="1" w:styleId="EndNoteBibliographyChar">
    <w:name w:val="EndNote Bibliography Char"/>
    <w:basedOn w:val="DefaultParagraphFont"/>
    <w:link w:val="EndNoteBibliography"/>
    <w:rsid w:val="00311047"/>
    <w:rPr>
      <w:rFonts w:ascii="Calibri" w:hAnsi="Calibri" w:cs="Calibri"/>
    </w:rPr>
  </w:style>
  <w:style w:type="paragraph" w:styleId="CommentSubject">
    <w:name w:val="annotation subject"/>
    <w:basedOn w:val="CommentText"/>
    <w:next w:val="CommentText"/>
    <w:link w:val="CommentSubjectChar"/>
    <w:uiPriority w:val="99"/>
    <w:semiHidden/>
    <w:unhideWhenUsed/>
    <w:rsid w:val="00E56F1A"/>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E56F1A"/>
    <w:rPr>
      <w:rFonts w:ascii="Times New Roman" w:hAnsi="Times New Roman" w:cs="Times New Roman"/>
      <w:b/>
      <w:bCs/>
      <w:sz w:val="20"/>
      <w:szCs w:val="20"/>
    </w:rPr>
  </w:style>
  <w:style w:type="paragraph" w:styleId="Revision">
    <w:name w:val="Revision"/>
    <w:hidden/>
    <w:uiPriority w:val="99"/>
    <w:semiHidden/>
    <w:rsid w:val="00E56F1A"/>
  </w:style>
  <w:style w:type="paragraph" w:styleId="BalloonText">
    <w:name w:val="Balloon Text"/>
    <w:basedOn w:val="Normal"/>
    <w:link w:val="BalloonTextChar"/>
    <w:uiPriority w:val="99"/>
    <w:semiHidden/>
    <w:unhideWhenUsed/>
    <w:rsid w:val="00E56F1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56F1A"/>
    <w:rPr>
      <w:rFonts w:ascii="Times New Roman" w:hAnsi="Times New Roman" w:cs="Times New Roman"/>
      <w:sz w:val="18"/>
      <w:szCs w:val="18"/>
    </w:rPr>
  </w:style>
  <w:style w:type="paragraph" w:styleId="NormalWeb">
    <w:name w:val="Normal (Web)"/>
    <w:basedOn w:val="Normal"/>
    <w:uiPriority w:val="99"/>
    <w:semiHidden/>
    <w:unhideWhenUsed/>
    <w:rsid w:val="00B634BE"/>
    <w:pPr>
      <w:spacing w:before="100" w:beforeAutospacing="1" w:after="100" w:afterAutospacing="1"/>
    </w:pPr>
    <w:rPr>
      <w:rFonts w:ascii="Times New Roman" w:eastAsiaTheme="minorEastAsia" w:hAnsi="Times New Roman" w:cs="Times New Roman"/>
    </w:rPr>
  </w:style>
  <w:style w:type="table" w:styleId="TableGrid">
    <w:name w:val="Table Grid"/>
    <w:basedOn w:val="TableNormal"/>
    <w:uiPriority w:val="39"/>
    <w:rsid w:val="001D15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80017E"/>
    <w:rPr>
      <w:rFonts w:ascii="Calibri" w:hAnsi="Calibri" w:cs="Calibri"/>
      <w:sz w:val="22"/>
      <w:szCs w:val="22"/>
    </w:rPr>
  </w:style>
  <w:style w:type="paragraph" w:customStyle="1" w:styleId="Default">
    <w:name w:val="Default"/>
    <w:rsid w:val="0080017E"/>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67D54-BADB-EE43-8620-F4E5705D1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841</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AFB</dc:creator>
  <cp:keywords/>
  <dc:description/>
  <cp:lastModifiedBy>Crouch, Cara</cp:lastModifiedBy>
  <cp:revision>3</cp:revision>
  <dcterms:created xsi:type="dcterms:W3CDTF">2022-02-01T20:15:00Z</dcterms:created>
  <dcterms:modified xsi:type="dcterms:W3CDTF">2022-02-01T20:15:00Z</dcterms:modified>
</cp:coreProperties>
</file>