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D190" w14:textId="77777777" w:rsidR="002F044A" w:rsidRDefault="002F044A" w:rsidP="002F044A">
      <w:pPr>
        <w:rPr>
          <w:rFonts w:ascii="Times" w:hAnsi="Times"/>
          <w:b/>
        </w:rPr>
      </w:pPr>
      <w:r w:rsidRPr="00B31592">
        <w:rPr>
          <w:rFonts w:ascii="Times" w:hAnsi="Times"/>
          <w:b/>
        </w:rPr>
        <w:t>APPENDICES</w:t>
      </w:r>
    </w:p>
    <w:p w14:paraId="1B3D3863" w14:textId="77777777" w:rsidR="002F044A" w:rsidRDefault="002F044A" w:rsidP="002F044A">
      <w:pPr>
        <w:rPr>
          <w:rFonts w:ascii="Times" w:hAnsi="Times"/>
          <w:b/>
        </w:rPr>
      </w:pPr>
    </w:p>
    <w:p w14:paraId="16A8F4DA" w14:textId="77777777" w:rsidR="002F044A" w:rsidRDefault="002F044A" w:rsidP="002F044A">
      <w:pPr>
        <w:rPr>
          <w:rFonts w:ascii="Times" w:hAnsi="Times"/>
          <w:b/>
        </w:rPr>
      </w:pPr>
      <w:r>
        <w:rPr>
          <w:rFonts w:ascii="Times" w:hAnsi="Times"/>
          <w:b/>
        </w:rPr>
        <w:t>Table of contents:</w:t>
      </w:r>
    </w:p>
    <w:p w14:paraId="486A1D47" w14:textId="36DF5963" w:rsidR="002F044A" w:rsidRPr="002F044A" w:rsidRDefault="002F044A" w:rsidP="002F044A">
      <w:pPr>
        <w:pStyle w:val="ListParagraph"/>
        <w:numPr>
          <w:ilvl w:val="0"/>
          <w:numId w:val="1"/>
        </w:numPr>
        <w:spacing w:after="160"/>
        <w:rPr>
          <w:rFonts w:ascii="Times" w:hAnsi="Times"/>
          <w:b/>
        </w:rPr>
      </w:pPr>
      <w:r w:rsidRPr="00B31592">
        <w:rPr>
          <w:rFonts w:ascii="Times" w:hAnsi="Times"/>
          <w:b/>
        </w:rPr>
        <w:t>Canadian Classification of Intervention (CCI) Codes for Elective Surgeries</w:t>
      </w:r>
    </w:p>
    <w:p w14:paraId="29F20F53" w14:textId="2F6CB5B4" w:rsidR="002F044A" w:rsidRPr="001D3A05" w:rsidRDefault="002F044A" w:rsidP="002F044A">
      <w:pPr>
        <w:pStyle w:val="ListParagraph"/>
        <w:numPr>
          <w:ilvl w:val="0"/>
          <w:numId w:val="1"/>
        </w:numPr>
        <w:spacing w:after="160" w:line="256" w:lineRule="auto"/>
        <w:rPr>
          <w:rFonts w:ascii="Times" w:hAnsi="Times"/>
          <w:b/>
          <w:bCs/>
        </w:rPr>
      </w:pPr>
      <w:r w:rsidRPr="001D3A05">
        <w:rPr>
          <w:rFonts w:ascii="Times" w:hAnsi="Times"/>
          <w:b/>
          <w:bCs/>
        </w:rPr>
        <w:t>Composition of the preoperative frailty index (</w:t>
      </w:r>
      <w:proofErr w:type="spellStart"/>
      <w:r w:rsidRPr="001D3A05">
        <w:rPr>
          <w:rFonts w:ascii="Times" w:hAnsi="Times"/>
          <w:b/>
          <w:bCs/>
        </w:rPr>
        <w:t>pFI</w:t>
      </w:r>
      <w:proofErr w:type="spellEnd"/>
      <w:r w:rsidRPr="001D3A05">
        <w:rPr>
          <w:rFonts w:ascii="Times" w:hAnsi="Times"/>
          <w:b/>
          <w:bCs/>
        </w:rPr>
        <w:t>)</w:t>
      </w:r>
      <w:r w:rsidR="006610CD">
        <w:rPr>
          <w:rFonts w:ascii="Times" w:hAnsi="Times"/>
          <w:b/>
          <w:bCs/>
        </w:rPr>
        <w:t xml:space="preserve"> and distribution of deficits</w:t>
      </w:r>
    </w:p>
    <w:p w14:paraId="4642B786" w14:textId="77777777" w:rsidR="002F044A" w:rsidRDefault="002F044A" w:rsidP="002F044A">
      <w:pPr>
        <w:spacing w:line="259" w:lineRule="auto"/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14:paraId="08875764" w14:textId="77777777" w:rsidR="002F044A" w:rsidRPr="00B31592" w:rsidRDefault="002F044A" w:rsidP="002F044A">
      <w:pPr>
        <w:rPr>
          <w:rFonts w:ascii="Times" w:hAnsi="Times"/>
          <w:b/>
        </w:rPr>
      </w:pPr>
      <w:r w:rsidRPr="00B31592">
        <w:rPr>
          <w:rFonts w:ascii="Times" w:hAnsi="Times"/>
          <w:b/>
        </w:rPr>
        <w:lastRenderedPageBreak/>
        <w:t>1.0 Canadian Classification of Intervention (CCI) Codes for Elective Surgeries</w:t>
      </w:r>
    </w:p>
    <w:tbl>
      <w:tblPr>
        <w:tblW w:w="875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241"/>
      </w:tblGrid>
      <w:tr w:rsidR="002F044A" w:rsidRPr="00B31592" w14:paraId="61BD6220" w14:textId="77777777" w:rsidTr="002802C5">
        <w:trPr>
          <w:trHeight w:val="182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000000"/>
          </w:tcPr>
          <w:p w14:paraId="4B304449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Procedure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shd w:val="clear" w:color="auto" w:fill="000000"/>
          </w:tcPr>
          <w:p w14:paraId="15B87DC3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 xml:space="preserve">CCI codes </w:t>
            </w:r>
          </w:p>
        </w:tc>
      </w:tr>
      <w:tr w:rsidR="002F044A" w:rsidRPr="00B31592" w14:paraId="7B43C0DA" w14:textId="77777777" w:rsidTr="002802C5">
        <w:trPr>
          <w:trHeight w:val="183"/>
        </w:trPr>
        <w:tc>
          <w:tcPr>
            <w:tcW w:w="2515" w:type="dxa"/>
            <w:shd w:val="clear" w:color="auto" w:fill="D9D9D9"/>
          </w:tcPr>
          <w:p w14:paraId="396A5FFC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ORTHOPEDIC</w:t>
            </w:r>
          </w:p>
        </w:tc>
        <w:tc>
          <w:tcPr>
            <w:tcW w:w="6241" w:type="dxa"/>
            <w:shd w:val="clear" w:color="auto" w:fill="D9D9D9"/>
          </w:tcPr>
          <w:p w14:paraId="40F111C6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</w:tr>
      <w:tr w:rsidR="002F044A" w:rsidRPr="009562B9" w14:paraId="6D54618D" w14:textId="77777777" w:rsidTr="002802C5">
        <w:trPr>
          <w:trHeight w:val="365"/>
        </w:trPr>
        <w:tc>
          <w:tcPr>
            <w:tcW w:w="2515" w:type="dxa"/>
            <w:shd w:val="clear" w:color="auto" w:fill="auto"/>
          </w:tcPr>
          <w:p w14:paraId="714A68EC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Total hip replacement</w:t>
            </w:r>
          </w:p>
          <w:p w14:paraId="4EA81E25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</w:tcPr>
          <w:p w14:paraId="22994763" w14:textId="77777777" w:rsidR="002F044A" w:rsidRPr="00B31592" w:rsidRDefault="002F044A" w:rsidP="002802C5">
            <w:pPr>
              <w:pStyle w:val="FootnoteText"/>
              <w:rPr>
                <w:rFonts w:ascii="Times" w:hAnsi="Times"/>
                <w:sz w:val="24"/>
                <w:szCs w:val="24"/>
                <w:lang w:val="fr-CA"/>
              </w:rPr>
            </w:pPr>
            <w:r w:rsidRPr="00B31592">
              <w:rPr>
                <w:rFonts w:ascii="Times" w:hAnsi="Times"/>
                <w:bCs/>
                <w:sz w:val="24"/>
                <w:szCs w:val="24"/>
                <w:lang w:val="fr-CA"/>
              </w:rPr>
              <w:t>1.VA.53.LA-PN ; 1.VA.53.PN-PN</w:t>
            </w:r>
          </w:p>
        </w:tc>
      </w:tr>
      <w:tr w:rsidR="002F044A" w:rsidRPr="00B31592" w14:paraId="2500596B" w14:textId="77777777" w:rsidTr="002802C5">
        <w:trPr>
          <w:trHeight w:val="280"/>
        </w:trPr>
        <w:tc>
          <w:tcPr>
            <w:tcW w:w="2515" w:type="dxa"/>
            <w:shd w:val="clear" w:color="auto" w:fill="auto"/>
          </w:tcPr>
          <w:p w14:paraId="592F4E17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Total knee replacement</w:t>
            </w:r>
          </w:p>
          <w:p w14:paraId="06D3A98B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</w:tcPr>
          <w:p w14:paraId="011BDD2B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bCs/>
                <w:lang w:val="fr-CA"/>
              </w:rPr>
              <w:t>1.VG.53</w:t>
            </w:r>
          </w:p>
        </w:tc>
      </w:tr>
      <w:tr w:rsidR="002F044A" w:rsidRPr="00B31592" w14:paraId="4340AE46" w14:textId="77777777" w:rsidTr="002802C5">
        <w:trPr>
          <w:trHeight w:val="182"/>
        </w:trPr>
        <w:tc>
          <w:tcPr>
            <w:tcW w:w="2515" w:type="dxa"/>
            <w:shd w:val="clear" w:color="auto" w:fill="D9D9D9"/>
          </w:tcPr>
          <w:p w14:paraId="19732A74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>VASCULAR</w:t>
            </w:r>
          </w:p>
        </w:tc>
        <w:tc>
          <w:tcPr>
            <w:tcW w:w="6241" w:type="dxa"/>
            <w:shd w:val="clear" w:color="auto" w:fill="D9D9D9"/>
          </w:tcPr>
          <w:p w14:paraId="7230552E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</w:tr>
      <w:tr w:rsidR="002F044A" w:rsidRPr="00B31592" w14:paraId="5083C3EB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236A8C86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Carotid endarterectomy</w:t>
            </w:r>
          </w:p>
          <w:p w14:paraId="499DA308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</w:tcPr>
          <w:p w14:paraId="3F844625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  <w:bCs/>
              </w:rPr>
              <w:t xml:space="preserve">1.JE.57 </w:t>
            </w:r>
            <w:r w:rsidRPr="00B31592">
              <w:rPr>
                <w:rFonts w:ascii="Times" w:hAnsi="Times"/>
                <w:u w:val="single"/>
              </w:rPr>
              <w:t>without</w:t>
            </w:r>
            <w:r w:rsidRPr="00B31592">
              <w:rPr>
                <w:rFonts w:ascii="Times" w:hAnsi="Times"/>
              </w:rPr>
              <w:t xml:space="preserve"> </w:t>
            </w:r>
            <w:r w:rsidRPr="00B31592">
              <w:rPr>
                <w:rFonts w:ascii="Times" w:hAnsi="Times"/>
                <w:bCs/>
              </w:rPr>
              <w:t>1.IJ.76</w:t>
            </w:r>
            <w:r w:rsidRPr="00B31592">
              <w:rPr>
                <w:rFonts w:ascii="Times" w:hAnsi="Times"/>
              </w:rPr>
              <w:t xml:space="preserve"> on the same date (exclude concurrent CABG surgery)</w:t>
            </w:r>
          </w:p>
        </w:tc>
      </w:tr>
      <w:tr w:rsidR="002F044A" w:rsidRPr="00B31592" w14:paraId="0AE40530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69FFFD56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Endovascular Abdominal aortic aneurysm repair</w:t>
            </w:r>
          </w:p>
          <w:p w14:paraId="1CA6CCD2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  <w:tc>
          <w:tcPr>
            <w:tcW w:w="6241" w:type="dxa"/>
            <w:shd w:val="clear" w:color="auto" w:fill="auto"/>
          </w:tcPr>
          <w:p w14:paraId="460C6270" w14:textId="77777777" w:rsidR="002F044A" w:rsidRPr="00B31592" w:rsidRDefault="002F044A" w:rsidP="002802C5">
            <w:pPr>
              <w:autoSpaceDE w:val="0"/>
              <w:autoSpaceDN w:val="0"/>
              <w:adjustRightInd w:val="0"/>
              <w:rPr>
                <w:rFonts w:ascii="Times" w:hAnsi="Times"/>
                <w:lang w:eastAsia="en-CA"/>
              </w:rPr>
            </w:pPr>
            <w:r w:rsidRPr="00B31592">
              <w:rPr>
                <w:rFonts w:ascii="Times" w:hAnsi="Times"/>
                <w:lang w:eastAsia="en-CA"/>
              </w:rPr>
              <w:t>1.KA.80.GQ-NRN or</w:t>
            </w:r>
          </w:p>
          <w:p w14:paraId="64294DD5" w14:textId="77777777" w:rsidR="002F044A" w:rsidRPr="00B31592" w:rsidRDefault="002F044A" w:rsidP="002802C5">
            <w:pPr>
              <w:autoSpaceDE w:val="0"/>
              <w:autoSpaceDN w:val="0"/>
              <w:adjustRightInd w:val="0"/>
              <w:rPr>
                <w:rFonts w:ascii="Times" w:hAnsi="Times"/>
                <w:lang w:eastAsia="en-CA"/>
              </w:rPr>
            </w:pPr>
            <w:r w:rsidRPr="00B31592">
              <w:rPr>
                <w:rFonts w:ascii="Times" w:hAnsi="Times"/>
                <w:lang w:eastAsia="en-CA"/>
              </w:rPr>
              <w:t>1.KA.50.GS-BD or</w:t>
            </w:r>
          </w:p>
          <w:p w14:paraId="1F9BDAD8" w14:textId="77777777" w:rsidR="002F044A" w:rsidRPr="00B31592" w:rsidRDefault="002F044A" w:rsidP="002802C5">
            <w:pPr>
              <w:autoSpaceDE w:val="0"/>
              <w:autoSpaceDN w:val="0"/>
              <w:adjustRightInd w:val="0"/>
              <w:rPr>
                <w:rFonts w:ascii="Times" w:hAnsi="Times"/>
                <w:lang w:eastAsia="en-CA"/>
              </w:rPr>
            </w:pPr>
            <w:r w:rsidRPr="00B31592">
              <w:rPr>
                <w:rFonts w:ascii="Times" w:hAnsi="Times"/>
                <w:lang w:eastAsia="en-CA"/>
              </w:rPr>
              <w:t>1.KA.50.LA-BD or</w:t>
            </w:r>
          </w:p>
          <w:p w14:paraId="39274A9D" w14:textId="77777777" w:rsidR="002F044A" w:rsidRPr="00B31592" w:rsidRDefault="002F044A" w:rsidP="002802C5">
            <w:pPr>
              <w:autoSpaceDE w:val="0"/>
              <w:autoSpaceDN w:val="0"/>
              <w:adjustRightInd w:val="0"/>
              <w:rPr>
                <w:rFonts w:ascii="Times" w:hAnsi="Times"/>
                <w:lang w:eastAsia="en-CA"/>
              </w:rPr>
            </w:pPr>
            <w:r w:rsidRPr="00B31592">
              <w:rPr>
                <w:rFonts w:ascii="Times" w:hAnsi="Times"/>
                <w:lang w:eastAsia="en-CA"/>
              </w:rPr>
              <w:t>1.KE.50.GQ-OA or</w:t>
            </w:r>
          </w:p>
          <w:p w14:paraId="33664114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  <w:lang w:eastAsia="en-CA"/>
              </w:rPr>
              <w:t>1.KE.51.GQ-GE</w:t>
            </w:r>
            <w:r w:rsidRPr="00B31592">
              <w:rPr>
                <w:rFonts w:ascii="Times" w:hAnsi="Times"/>
              </w:rPr>
              <w:t xml:space="preserve"> </w:t>
            </w:r>
          </w:p>
          <w:p w14:paraId="74DB6026" w14:textId="77777777" w:rsidR="002F044A" w:rsidRPr="00B31592" w:rsidRDefault="002F044A" w:rsidP="002802C5">
            <w:pPr>
              <w:rPr>
                <w:rFonts w:ascii="Times" w:hAnsi="Times"/>
                <w:lang w:eastAsia="en-CA"/>
              </w:rPr>
            </w:pPr>
            <w:r w:rsidRPr="00B31592">
              <w:rPr>
                <w:rFonts w:ascii="Times" w:hAnsi="Times"/>
              </w:rPr>
              <w:t xml:space="preserve">[must have ICD-10 code </w:t>
            </w:r>
            <w:r w:rsidRPr="00B31592">
              <w:rPr>
                <w:rFonts w:ascii="Times" w:hAnsi="Times"/>
                <w:bCs/>
              </w:rPr>
              <w:t xml:space="preserve">I71.4 </w:t>
            </w:r>
            <w:r w:rsidRPr="00B31592">
              <w:rPr>
                <w:rFonts w:ascii="Times" w:hAnsi="Times"/>
              </w:rPr>
              <w:t>on the same admission]</w:t>
            </w:r>
          </w:p>
          <w:p w14:paraId="1F048160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</w:tr>
      <w:tr w:rsidR="002F044A" w:rsidRPr="00B31592" w14:paraId="6497F73F" w14:textId="77777777" w:rsidTr="002802C5">
        <w:trPr>
          <w:trHeight w:val="182"/>
        </w:trPr>
        <w:tc>
          <w:tcPr>
            <w:tcW w:w="2515" w:type="dxa"/>
            <w:shd w:val="clear" w:color="auto" w:fill="auto"/>
            <w:vAlign w:val="bottom"/>
          </w:tcPr>
          <w:p w14:paraId="68A7B696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 xml:space="preserve">Open Abdominal </w:t>
            </w:r>
            <w:proofErr w:type="spellStart"/>
            <w:r w:rsidRPr="00B31592">
              <w:rPr>
                <w:rFonts w:ascii="Times" w:hAnsi="Times"/>
                <w:lang w:val="fr-CA"/>
              </w:rPr>
              <w:t>aortic</w:t>
            </w:r>
            <w:proofErr w:type="spellEnd"/>
            <w:r w:rsidRPr="00B31592">
              <w:rPr>
                <w:rFonts w:ascii="Times" w:hAnsi="Times"/>
                <w:lang w:val="fr-CA"/>
              </w:rPr>
              <w:t xml:space="preserve"> </w:t>
            </w:r>
            <w:proofErr w:type="spellStart"/>
            <w:r w:rsidRPr="00B31592">
              <w:rPr>
                <w:rFonts w:ascii="Times" w:hAnsi="Times"/>
                <w:lang w:val="fr-CA"/>
              </w:rPr>
              <w:t>aneurysm</w:t>
            </w:r>
            <w:proofErr w:type="spellEnd"/>
            <w:r w:rsidRPr="00B31592">
              <w:rPr>
                <w:rFonts w:ascii="Times" w:hAnsi="Times"/>
                <w:lang w:val="fr-CA"/>
              </w:rPr>
              <w:t xml:space="preserve"> </w:t>
            </w:r>
            <w:proofErr w:type="spellStart"/>
            <w:r w:rsidRPr="00B31592">
              <w:rPr>
                <w:rFonts w:ascii="Times" w:hAnsi="Times"/>
                <w:lang w:val="fr-CA"/>
              </w:rPr>
              <w:t>repair</w:t>
            </w:r>
            <w:proofErr w:type="spellEnd"/>
          </w:p>
          <w:p w14:paraId="05148285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  <w:vAlign w:val="bottom"/>
          </w:tcPr>
          <w:p w14:paraId="7EDFDC9D" w14:textId="77777777" w:rsidR="002F044A" w:rsidRPr="00B31592" w:rsidRDefault="002F044A" w:rsidP="002802C5">
            <w:pPr>
              <w:rPr>
                <w:rFonts w:ascii="Times" w:hAnsi="Times"/>
                <w:bCs/>
              </w:rPr>
            </w:pPr>
            <w:r w:rsidRPr="00B31592">
              <w:rPr>
                <w:rFonts w:ascii="Times" w:hAnsi="Times"/>
                <w:bCs/>
              </w:rPr>
              <w:t>1.KA.80.LA-XXN or</w:t>
            </w:r>
          </w:p>
          <w:p w14:paraId="6D1F6AFE" w14:textId="77777777" w:rsidR="002F044A" w:rsidRPr="00B31592" w:rsidRDefault="002F044A" w:rsidP="002802C5">
            <w:pPr>
              <w:rPr>
                <w:rFonts w:ascii="Times" w:hAnsi="Times"/>
                <w:bCs/>
              </w:rPr>
            </w:pPr>
            <w:r w:rsidRPr="00B31592">
              <w:rPr>
                <w:rFonts w:ascii="Times" w:hAnsi="Times"/>
                <w:bCs/>
              </w:rPr>
              <w:t>1.KA.</w:t>
            </w:r>
            <w:proofErr w:type="gramStart"/>
            <w:r w:rsidRPr="00B31592">
              <w:rPr>
                <w:rFonts w:ascii="Times" w:hAnsi="Times"/>
                <w:bCs/>
              </w:rPr>
              <w:t>76.NB</w:t>
            </w:r>
            <w:proofErr w:type="gramEnd"/>
            <w:r w:rsidRPr="00B31592">
              <w:rPr>
                <w:rFonts w:ascii="Times" w:hAnsi="Times"/>
                <w:bCs/>
              </w:rPr>
              <w:t>-XXN or</w:t>
            </w:r>
          </w:p>
          <w:p w14:paraId="69588B21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  <w:bCs/>
              </w:rPr>
              <w:t>1.KA.76.MZ-XXN</w:t>
            </w:r>
            <w:r w:rsidRPr="00B31592">
              <w:rPr>
                <w:rFonts w:ascii="Times" w:hAnsi="Times"/>
              </w:rPr>
              <w:t xml:space="preserve"> </w:t>
            </w:r>
          </w:p>
          <w:p w14:paraId="04DE70BF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 xml:space="preserve">[must have ICD-10 code </w:t>
            </w:r>
            <w:r w:rsidRPr="00B31592">
              <w:rPr>
                <w:rFonts w:ascii="Times" w:hAnsi="Times"/>
                <w:bCs/>
              </w:rPr>
              <w:t xml:space="preserve">I71.4 </w:t>
            </w:r>
            <w:r w:rsidRPr="00B31592">
              <w:rPr>
                <w:rFonts w:ascii="Times" w:hAnsi="Times"/>
              </w:rPr>
              <w:t>on the same admission]</w:t>
            </w:r>
          </w:p>
        </w:tc>
      </w:tr>
      <w:tr w:rsidR="002F044A" w:rsidRPr="00B31592" w14:paraId="685329ED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34F51E01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Peripheral arterial bypass surgery</w:t>
            </w:r>
          </w:p>
          <w:p w14:paraId="3A8CD857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</w:tcPr>
          <w:p w14:paraId="4854627D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  <w:bCs/>
              </w:rPr>
              <w:t>1.KG.</w:t>
            </w:r>
            <w:proofErr w:type="gramStart"/>
            <w:r w:rsidRPr="00B31592">
              <w:rPr>
                <w:rFonts w:ascii="Times" w:hAnsi="Times"/>
                <w:bCs/>
              </w:rPr>
              <w:t>76 ;</w:t>
            </w:r>
            <w:proofErr w:type="gramEnd"/>
            <w:r w:rsidRPr="00B31592">
              <w:rPr>
                <w:rFonts w:ascii="Times" w:hAnsi="Times"/>
                <w:bCs/>
              </w:rPr>
              <w:t xml:space="preserve"> </w:t>
            </w:r>
            <w:r w:rsidRPr="00B31592">
              <w:rPr>
                <w:rFonts w:ascii="Times" w:hAnsi="Times"/>
              </w:rPr>
              <w:t xml:space="preserve">1.JM.76.MI ; </w:t>
            </w:r>
            <w:r w:rsidRPr="00B31592">
              <w:rPr>
                <w:rFonts w:ascii="Times" w:hAnsi="Times"/>
                <w:bCs/>
              </w:rPr>
              <w:t>1.KT.76 ; 1.KG.80 or</w:t>
            </w:r>
            <w:r w:rsidRPr="00B31592">
              <w:rPr>
                <w:rFonts w:ascii="Times" w:hAnsi="Times"/>
              </w:rPr>
              <w:t xml:space="preserve"> CCI code </w:t>
            </w:r>
            <w:r w:rsidRPr="00B31592">
              <w:rPr>
                <w:rFonts w:ascii="Times" w:hAnsi="Times"/>
                <w:bCs/>
              </w:rPr>
              <w:t>1.KA.76</w:t>
            </w:r>
            <w:r w:rsidRPr="00B31592">
              <w:rPr>
                <w:rFonts w:ascii="Times" w:hAnsi="Times"/>
              </w:rPr>
              <w:t xml:space="preserve"> </w:t>
            </w:r>
            <w:r w:rsidRPr="00B31592">
              <w:rPr>
                <w:rFonts w:ascii="Times" w:hAnsi="Times"/>
                <w:u w:val="single"/>
              </w:rPr>
              <w:t>without</w:t>
            </w:r>
            <w:r w:rsidRPr="00B31592">
              <w:rPr>
                <w:rFonts w:ascii="Times" w:hAnsi="Times"/>
              </w:rPr>
              <w:t xml:space="preserve"> ICD-10 codes </w:t>
            </w:r>
            <w:r w:rsidRPr="00B31592">
              <w:rPr>
                <w:rFonts w:ascii="Times" w:hAnsi="Times"/>
                <w:bCs/>
              </w:rPr>
              <w:t>I71.3</w:t>
            </w:r>
            <w:r w:rsidRPr="00B31592">
              <w:rPr>
                <w:rFonts w:ascii="Times" w:hAnsi="Times"/>
              </w:rPr>
              <w:t xml:space="preserve"> or </w:t>
            </w:r>
            <w:r w:rsidRPr="00B31592">
              <w:rPr>
                <w:rFonts w:ascii="Times" w:hAnsi="Times"/>
                <w:bCs/>
              </w:rPr>
              <w:t>I71.4</w:t>
            </w:r>
            <w:r w:rsidRPr="00B31592">
              <w:rPr>
                <w:rFonts w:ascii="Times" w:hAnsi="Times"/>
              </w:rPr>
              <w:t xml:space="preserve"> or I71.9 on the same admission.</w:t>
            </w:r>
          </w:p>
        </w:tc>
      </w:tr>
      <w:tr w:rsidR="002F044A" w:rsidRPr="00B31592" w14:paraId="644CE974" w14:textId="77777777" w:rsidTr="002802C5">
        <w:trPr>
          <w:trHeight w:val="182"/>
        </w:trPr>
        <w:tc>
          <w:tcPr>
            <w:tcW w:w="2515" w:type="dxa"/>
            <w:shd w:val="clear" w:color="auto" w:fill="D9D9D9"/>
          </w:tcPr>
          <w:p w14:paraId="597C651A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UROLOGIC</w:t>
            </w:r>
          </w:p>
        </w:tc>
        <w:tc>
          <w:tcPr>
            <w:tcW w:w="6241" w:type="dxa"/>
            <w:shd w:val="clear" w:color="auto" w:fill="D9D9D9"/>
          </w:tcPr>
          <w:p w14:paraId="143F87E4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</w:tr>
      <w:tr w:rsidR="002F044A" w:rsidRPr="00B31592" w14:paraId="2301B7FD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75A4E6BF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Partial or total nephrectomy</w:t>
            </w:r>
          </w:p>
          <w:p w14:paraId="523524E6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</w:tcPr>
          <w:p w14:paraId="5BD55A9A" w14:textId="77777777" w:rsidR="002F044A" w:rsidRPr="00B31592" w:rsidRDefault="002F044A" w:rsidP="002802C5">
            <w:pPr>
              <w:pStyle w:val="FootnoteText"/>
              <w:rPr>
                <w:rFonts w:ascii="Times" w:hAnsi="Times"/>
                <w:sz w:val="24"/>
                <w:szCs w:val="24"/>
                <w:lang w:val="fr-CA"/>
              </w:rPr>
            </w:pPr>
            <w:r w:rsidRPr="00B31592">
              <w:rPr>
                <w:rFonts w:ascii="Times" w:hAnsi="Times"/>
                <w:bCs/>
                <w:sz w:val="24"/>
                <w:szCs w:val="24"/>
                <w:lang w:val="fr-CA"/>
              </w:rPr>
              <w:t>1.PC.87 ; 1.PC.89 ; 1.PC.91</w:t>
            </w:r>
          </w:p>
        </w:tc>
      </w:tr>
      <w:tr w:rsidR="002F044A" w:rsidRPr="00B31592" w14:paraId="6E815CFB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13FC29EC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 xml:space="preserve">Total </w:t>
            </w:r>
            <w:proofErr w:type="spellStart"/>
            <w:r w:rsidRPr="00B31592">
              <w:rPr>
                <w:rFonts w:ascii="Times" w:hAnsi="Times"/>
                <w:lang w:val="fr-CA"/>
              </w:rPr>
              <w:t>cystectomy</w:t>
            </w:r>
            <w:proofErr w:type="spellEnd"/>
          </w:p>
          <w:p w14:paraId="4BE10160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  <w:tc>
          <w:tcPr>
            <w:tcW w:w="6241" w:type="dxa"/>
            <w:shd w:val="clear" w:color="auto" w:fill="auto"/>
          </w:tcPr>
          <w:p w14:paraId="11FE9406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bCs/>
                <w:lang w:val="fr-CA"/>
              </w:rPr>
              <w:t>1.PM.89 ; 1.PM.90 ; 1.PM.91 ; 1.PM.92</w:t>
            </w:r>
          </w:p>
        </w:tc>
      </w:tr>
      <w:tr w:rsidR="002F044A" w:rsidRPr="00B31592" w14:paraId="03AB5E02" w14:textId="77777777" w:rsidTr="002802C5">
        <w:trPr>
          <w:trHeight w:val="182"/>
        </w:trPr>
        <w:tc>
          <w:tcPr>
            <w:tcW w:w="2515" w:type="dxa"/>
            <w:shd w:val="clear" w:color="auto" w:fill="D9D9D9"/>
          </w:tcPr>
          <w:p w14:paraId="73D8E8DD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>INTRAPERITONEAL</w:t>
            </w:r>
          </w:p>
        </w:tc>
        <w:tc>
          <w:tcPr>
            <w:tcW w:w="6241" w:type="dxa"/>
            <w:shd w:val="clear" w:color="auto" w:fill="D9D9D9"/>
          </w:tcPr>
          <w:p w14:paraId="636A64D6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>DAD</w:t>
            </w:r>
          </w:p>
        </w:tc>
      </w:tr>
      <w:tr w:rsidR="002F044A" w:rsidRPr="00B31592" w14:paraId="3DEDBA28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6042144B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Large bowel and rectal surgery</w:t>
            </w:r>
          </w:p>
          <w:p w14:paraId="62116978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6241" w:type="dxa"/>
            <w:shd w:val="clear" w:color="auto" w:fill="auto"/>
          </w:tcPr>
          <w:p w14:paraId="510813D5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  <w:bCs/>
              </w:rPr>
              <w:t xml:space="preserve">1.NM.87 (all </w:t>
            </w:r>
            <w:r w:rsidRPr="00B31592">
              <w:rPr>
                <w:rFonts w:ascii="Times" w:hAnsi="Times"/>
                <w:bCs/>
                <w:u w:val="single"/>
              </w:rPr>
              <w:t xml:space="preserve">except </w:t>
            </w:r>
            <w:proofErr w:type="gramStart"/>
            <w:r w:rsidRPr="00B31592">
              <w:rPr>
                <w:rFonts w:ascii="Times" w:hAnsi="Times"/>
                <w:bCs/>
              </w:rPr>
              <w:t>1.NM.87.BA</w:t>
            </w:r>
            <w:proofErr w:type="gramEnd"/>
            <w:r w:rsidRPr="00B31592">
              <w:rPr>
                <w:rFonts w:ascii="Times" w:hAnsi="Times"/>
                <w:bCs/>
              </w:rPr>
              <w:t>) or</w:t>
            </w:r>
            <w:r w:rsidRPr="00B31592">
              <w:rPr>
                <w:rFonts w:ascii="Times" w:hAnsi="Times"/>
              </w:rPr>
              <w:t xml:space="preserve"> </w:t>
            </w:r>
            <w:r w:rsidRPr="00B31592">
              <w:rPr>
                <w:rFonts w:ascii="Times" w:hAnsi="Times"/>
                <w:bCs/>
              </w:rPr>
              <w:t>1.NM.89 ; 1.NM.91 ; 1.NQ.89 ; 1.NQ.90 or</w:t>
            </w:r>
            <w:r w:rsidRPr="00B31592">
              <w:rPr>
                <w:rFonts w:ascii="Times" w:hAnsi="Times"/>
              </w:rPr>
              <w:t xml:space="preserve"> </w:t>
            </w:r>
            <w:r w:rsidRPr="00B31592">
              <w:rPr>
                <w:rFonts w:ascii="Times" w:hAnsi="Times"/>
                <w:bCs/>
              </w:rPr>
              <w:t xml:space="preserve">1.NQ.87 (all </w:t>
            </w:r>
            <w:r w:rsidRPr="00B31592">
              <w:rPr>
                <w:rFonts w:ascii="Times" w:hAnsi="Times"/>
                <w:bCs/>
                <w:u w:val="single"/>
              </w:rPr>
              <w:t>except</w:t>
            </w:r>
            <w:r w:rsidRPr="00B31592">
              <w:rPr>
                <w:rFonts w:ascii="Times" w:hAnsi="Times"/>
                <w:bCs/>
              </w:rPr>
              <w:t xml:space="preserve"> 1.NQ.87.BA)</w:t>
            </w:r>
          </w:p>
        </w:tc>
      </w:tr>
      <w:tr w:rsidR="002F044A" w:rsidRPr="00B31592" w14:paraId="0384EB0E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640B59F6" w14:textId="77777777" w:rsidR="002F044A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 xml:space="preserve">Partial </w:t>
            </w:r>
            <w:proofErr w:type="spellStart"/>
            <w:r w:rsidRPr="00B31592">
              <w:rPr>
                <w:rFonts w:ascii="Times" w:hAnsi="Times"/>
                <w:lang w:val="fr-CA"/>
              </w:rPr>
              <w:t>liver</w:t>
            </w:r>
            <w:proofErr w:type="spellEnd"/>
            <w:r w:rsidRPr="00B31592">
              <w:rPr>
                <w:rFonts w:ascii="Times" w:hAnsi="Times"/>
                <w:lang w:val="fr-CA"/>
              </w:rPr>
              <w:t xml:space="preserve"> </w:t>
            </w:r>
            <w:proofErr w:type="spellStart"/>
            <w:r w:rsidRPr="00B31592">
              <w:rPr>
                <w:rFonts w:ascii="Times" w:hAnsi="Times"/>
                <w:lang w:val="fr-CA"/>
              </w:rPr>
              <w:t>resection</w:t>
            </w:r>
            <w:proofErr w:type="spellEnd"/>
          </w:p>
          <w:p w14:paraId="22870C82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  <w:tc>
          <w:tcPr>
            <w:tcW w:w="6241" w:type="dxa"/>
            <w:shd w:val="clear" w:color="auto" w:fill="auto"/>
          </w:tcPr>
          <w:p w14:paraId="31F79E69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bCs/>
                <w:lang w:val="fr-CA"/>
              </w:rPr>
              <w:t>1.OA.87</w:t>
            </w:r>
          </w:p>
        </w:tc>
      </w:tr>
      <w:tr w:rsidR="002F044A" w:rsidRPr="00B31592" w14:paraId="44CA4A0A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1D3A2173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proofErr w:type="spellStart"/>
            <w:r w:rsidRPr="00B31592">
              <w:rPr>
                <w:rFonts w:ascii="Times" w:hAnsi="Times"/>
                <w:lang w:val="fr-CA"/>
              </w:rPr>
              <w:t>Pancreaticoduodenectomy</w:t>
            </w:r>
            <w:proofErr w:type="spellEnd"/>
          </w:p>
          <w:p w14:paraId="5A21F671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  <w:tc>
          <w:tcPr>
            <w:tcW w:w="6241" w:type="dxa"/>
            <w:shd w:val="clear" w:color="auto" w:fill="auto"/>
          </w:tcPr>
          <w:p w14:paraId="63F839B2" w14:textId="77777777" w:rsidR="002F044A" w:rsidRPr="00B31592" w:rsidRDefault="002F044A" w:rsidP="002802C5">
            <w:pPr>
              <w:pStyle w:val="FootnoteText"/>
              <w:rPr>
                <w:rFonts w:ascii="Times" w:hAnsi="Times"/>
                <w:sz w:val="24"/>
                <w:szCs w:val="24"/>
              </w:rPr>
            </w:pPr>
            <w:r w:rsidRPr="00B31592">
              <w:rPr>
                <w:rFonts w:ascii="Times" w:hAnsi="Times"/>
                <w:bCs/>
                <w:sz w:val="24"/>
                <w:szCs w:val="24"/>
              </w:rPr>
              <w:t>1.OK.</w:t>
            </w:r>
            <w:proofErr w:type="gramStart"/>
            <w:r w:rsidRPr="00B31592">
              <w:rPr>
                <w:rFonts w:ascii="Times" w:hAnsi="Times"/>
                <w:bCs/>
                <w:sz w:val="24"/>
                <w:szCs w:val="24"/>
              </w:rPr>
              <w:t>87</w:t>
            </w:r>
            <w:r w:rsidRPr="00B31592">
              <w:rPr>
                <w:rFonts w:ascii="Times" w:hAnsi="Times"/>
                <w:sz w:val="24"/>
                <w:szCs w:val="24"/>
              </w:rPr>
              <w:t xml:space="preserve"> ;</w:t>
            </w:r>
            <w:proofErr w:type="gramEnd"/>
            <w:r w:rsidRPr="00B31592">
              <w:rPr>
                <w:rFonts w:ascii="Times" w:hAnsi="Times"/>
                <w:sz w:val="24"/>
                <w:szCs w:val="24"/>
              </w:rPr>
              <w:t xml:space="preserve"> </w:t>
            </w:r>
            <w:r w:rsidRPr="00B31592">
              <w:rPr>
                <w:rFonts w:ascii="Times" w:hAnsi="Times"/>
                <w:bCs/>
                <w:sz w:val="24"/>
                <w:szCs w:val="24"/>
              </w:rPr>
              <w:t>1.OK.89</w:t>
            </w:r>
            <w:r w:rsidRPr="00B31592">
              <w:rPr>
                <w:rFonts w:ascii="Times" w:hAnsi="Times"/>
                <w:sz w:val="24"/>
                <w:szCs w:val="24"/>
              </w:rPr>
              <w:t xml:space="preserve"> ; </w:t>
            </w:r>
            <w:r w:rsidRPr="00B31592">
              <w:rPr>
                <w:rFonts w:ascii="Times" w:hAnsi="Times"/>
                <w:bCs/>
                <w:sz w:val="24"/>
                <w:szCs w:val="24"/>
              </w:rPr>
              <w:t>1.OK.91</w:t>
            </w:r>
          </w:p>
        </w:tc>
      </w:tr>
      <w:tr w:rsidR="002F044A" w:rsidRPr="00B31592" w14:paraId="75E2FF99" w14:textId="77777777" w:rsidTr="002802C5">
        <w:trPr>
          <w:trHeight w:val="182"/>
        </w:trPr>
        <w:tc>
          <w:tcPr>
            <w:tcW w:w="2515" w:type="dxa"/>
            <w:shd w:val="clear" w:color="auto" w:fill="auto"/>
          </w:tcPr>
          <w:p w14:paraId="1F873C73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proofErr w:type="spellStart"/>
            <w:r w:rsidRPr="00B31592">
              <w:rPr>
                <w:rFonts w:ascii="Times" w:hAnsi="Times"/>
                <w:lang w:val="fr-CA"/>
              </w:rPr>
              <w:t>Gastrectomy</w:t>
            </w:r>
            <w:proofErr w:type="spellEnd"/>
            <w:r w:rsidRPr="00B31592">
              <w:rPr>
                <w:rFonts w:ascii="Times" w:hAnsi="Times"/>
                <w:lang w:val="fr-CA"/>
              </w:rPr>
              <w:t xml:space="preserve"> or </w:t>
            </w:r>
            <w:proofErr w:type="spellStart"/>
            <w:r w:rsidRPr="00B31592">
              <w:rPr>
                <w:rFonts w:ascii="Times" w:hAnsi="Times"/>
                <w:lang w:val="fr-CA"/>
              </w:rPr>
              <w:t>esophagectomy</w:t>
            </w:r>
            <w:proofErr w:type="spellEnd"/>
          </w:p>
          <w:p w14:paraId="2226C0F3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  <w:tc>
          <w:tcPr>
            <w:tcW w:w="6241" w:type="dxa"/>
            <w:shd w:val="clear" w:color="auto" w:fill="auto"/>
          </w:tcPr>
          <w:p w14:paraId="43C4F475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bCs/>
                <w:lang w:val="fr-CA"/>
              </w:rPr>
              <w:t xml:space="preserve">1.NF.87 </w:t>
            </w:r>
            <w:r w:rsidRPr="00B31592" w:rsidDel="001F0AC6">
              <w:rPr>
                <w:rFonts w:ascii="Times" w:hAnsi="Times"/>
                <w:bCs/>
                <w:lang w:val="fr-CA"/>
              </w:rPr>
              <w:t>;</w:t>
            </w:r>
            <w:r w:rsidRPr="00B31592">
              <w:rPr>
                <w:rFonts w:ascii="Times" w:hAnsi="Times"/>
                <w:lang w:val="fr-CA"/>
              </w:rPr>
              <w:t xml:space="preserve"> </w:t>
            </w:r>
            <w:r w:rsidRPr="00B31592">
              <w:rPr>
                <w:rFonts w:ascii="Times" w:hAnsi="Times"/>
                <w:bCs/>
                <w:lang w:val="fr-CA"/>
              </w:rPr>
              <w:t>1.NF.89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 xml:space="preserve">1.NF.90 </w:t>
            </w:r>
            <w:r w:rsidRPr="00B31592">
              <w:rPr>
                <w:rFonts w:ascii="Times" w:hAnsi="Times"/>
                <w:lang w:val="fr-CA"/>
              </w:rPr>
              <w:t xml:space="preserve">; </w:t>
            </w:r>
            <w:r w:rsidRPr="00B31592">
              <w:rPr>
                <w:rFonts w:ascii="Times" w:hAnsi="Times"/>
                <w:bCs/>
                <w:lang w:val="fr-CA"/>
              </w:rPr>
              <w:t>1.NF.91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1.NF.92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1.NA.88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1.NA.89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1.NA.90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1.NA.91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1.NA.92</w:t>
            </w:r>
            <w:r w:rsidRPr="00B31592">
              <w:rPr>
                <w:rFonts w:ascii="Times" w:hAnsi="Times"/>
                <w:lang w:val="fr-CA"/>
              </w:rPr>
              <w:t xml:space="preserve"> ;</w:t>
            </w:r>
            <w:r w:rsidRPr="00B31592">
              <w:rPr>
                <w:rFonts w:ascii="Times" w:hAnsi="Times"/>
                <w:bCs/>
                <w:lang w:val="fr-CA"/>
              </w:rPr>
              <w:t xml:space="preserve"> 1.NA.87</w:t>
            </w:r>
          </w:p>
        </w:tc>
      </w:tr>
      <w:tr w:rsidR="002F044A" w:rsidRPr="00B31592" w14:paraId="3244E912" w14:textId="77777777" w:rsidTr="002802C5">
        <w:trPr>
          <w:trHeight w:val="182"/>
        </w:trPr>
        <w:tc>
          <w:tcPr>
            <w:tcW w:w="2515" w:type="dxa"/>
            <w:shd w:val="clear" w:color="auto" w:fill="D9D9D9"/>
          </w:tcPr>
          <w:p w14:paraId="20747B48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lang w:val="fr-CA"/>
              </w:rPr>
              <w:t>THORACIC</w:t>
            </w:r>
          </w:p>
        </w:tc>
        <w:tc>
          <w:tcPr>
            <w:tcW w:w="6241" w:type="dxa"/>
            <w:shd w:val="clear" w:color="auto" w:fill="D9D9D9"/>
          </w:tcPr>
          <w:p w14:paraId="2FAA45CF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</w:tr>
      <w:tr w:rsidR="002F044A" w:rsidRPr="009562B9" w14:paraId="75020F9E" w14:textId="77777777" w:rsidTr="002802C5">
        <w:trPr>
          <w:trHeight w:val="182"/>
        </w:trPr>
        <w:tc>
          <w:tcPr>
            <w:tcW w:w="2515" w:type="dxa"/>
            <w:shd w:val="clear" w:color="auto" w:fill="auto"/>
            <w:vAlign w:val="bottom"/>
          </w:tcPr>
          <w:p w14:paraId="18AE2D56" w14:textId="77777777" w:rsidR="002F044A" w:rsidRPr="00B31592" w:rsidRDefault="002F044A" w:rsidP="002802C5">
            <w:pPr>
              <w:rPr>
                <w:rFonts w:ascii="Times" w:hAnsi="Times"/>
              </w:rPr>
            </w:pPr>
            <w:r w:rsidRPr="00B31592">
              <w:rPr>
                <w:rFonts w:ascii="Times" w:hAnsi="Times"/>
              </w:rPr>
              <w:t>Pneumonectomy and lobectomy</w:t>
            </w:r>
          </w:p>
          <w:p w14:paraId="6D0DEEE4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</w:p>
        </w:tc>
        <w:tc>
          <w:tcPr>
            <w:tcW w:w="6241" w:type="dxa"/>
            <w:shd w:val="clear" w:color="auto" w:fill="auto"/>
            <w:vAlign w:val="bottom"/>
          </w:tcPr>
          <w:p w14:paraId="4A9298F0" w14:textId="77777777" w:rsidR="002F044A" w:rsidRPr="00B31592" w:rsidRDefault="002F044A" w:rsidP="002802C5">
            <w:pPr>
              <w:rPr>
                <w:rFonts w:ascii="Times" w:hAnsi="Times"/>
                <w:lang w:val="fr-CA"/>
              </w:rPr>
            </w:pPr>
            <w:r w:rsidRPr="00B31592">
              <w:rPr>
                <w:rFonts w:ascii="Times" w:hAnsi="Times"/>
                <w:bCs/>
                <w:lang w:val="fr-CA"/>
              </w:rPr>
              <w:t>1.GR.89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proofErr w:type="gramStart"/>
            <w:r w:rsidRPr="00B31592">
              <w:rPr>
                <w:rFonts w:ascii="Times" w:hAnsi="Times"/>
                <w:bCs/>
                <w:lang w:val="fr-CA"/>
              </w:rPr>
              <w:t>1.GR.</w:t>
            </w:r>
            <w:proofErr w:type="gramEnd"/>
            <w:r w:rsidRPr="00B31592">
              <w:rPr>
                <w:rFonts w:ascii="Times" w:hAnsi="Times"/>
                <w:bCs/>
                <w:lang w:val="fr-CA"/>
              </w:rPr>
              <w:t>91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1.GT.89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1.GT.91</w:t>
            </w:r>
            <w:r w:rsidRPr="00B31592">
              <w:rPr>
                <w:rFonts w:ascii="Times" w:hAnsi="Times"/>
                <w:lang w:val="fr-CA"/>
              </w:rPr>
              <w:t xml:space="preserve"> ; </w:t>
            </w:r>
            <w:r w:rsidRPr="00B31592">
              <w:rPr>
                <w:rFonts w:ascii="Times" w:hAnsi="Times"/>
                <w:bCs/>
                <w:lang w:val="fr-CA"/>
              </w:rPr>
              <w:t>1.GT.87</w:t>
            </w:r>
          </w:p>
        </w:tc>
      </w:tr>
    </w:tbl>
    <w:p w14:paraId="6B1E17D5" w14:textId="199F9E8C" w:rsidR="002F044A" w:rsidRPr="001D3A05" w:rsidRDefault="002F044A" w:rsidP="002F044A">
      <w:pPr>
        <w:spacing w:line="259" w:lineRule="auto"/>
        <w:rPr>
          <w:rFonts w:ascii="Times" w:hAnsi="Times"/>
          <w:b/>
          <w:bCs/>
        </w:rPr>
      </w:pPr>
      <w:r w:rsidRPr="001D3A05">
        <w:rPr>
          <w:rFonts w:ascii="Times" w:hAnsi="Times"/>
          <w:b/>
          <w:bCs/>
        </w:rPr>
        <w:t>2.0 Composition of the preoperative frailty index (</w:t>
      </w:r>
      <w:proofErr w:type="spellStart"/>
      <w:r w:rsidRPr="001D3A05">
        <w:rPr>
          <w:rFonts w:ascii="Times" w:hAnsi="Times"/>
          <w:b/>
          <w:bCs/>
        </w:rPr>
        <w:t>pFI</w:t>
      </w:r>
      <w:proofErr w:type="spellEnd"/>
      <w:r w:rsidRPr="001D3A05">
        <w:rPr>
          <w:rFonts w:ascii="Times" w:hAnsi="Times"/>
          <w:b/>
          <w:bCs/>
        </w:rPr>
        <w:t>)</w:t>
      </w:r>
      <w:r w:rsidR="004416BF">
        <w:rPr>
          <w:rFonts w:ascii="Times" w:hAnsi="Times"/>
          <w:b/>
          <w:bCs/>
        </w:rPr>
        <w:t xml:space="preserve"> and distribution of deficits</w:t>
      </w:r>
    </w:p>
    <w:tbl>
      <w:tblPr>
        <w:tblW w:w="9504" w:type="dxa"/>
        <w:tblLook w:val="04A0" w:firstRow="1" w:lastRow="0" w:firstColumn="1" w:lastColumn="0" w:noHBand="0" w:noVBand="1"/>
      </w:tblPr>
      <w:tblGrid>
        <w:gridCol w:w="3361"/>
        <w:gridCol w:w="2675"/>
        <w:gridCol w:w="1156"/>
        <w:gridCol w:w="1156"/>
        <w:gridCol w:w="1156"/>
      </w:tblGrid>
      <w:tr w:rsidR="002F044A" w:rsidRPr="00B31592" w14:paraId="52F5105A" w14:textId="77777777" w:rsidTr="002802C5">
        <w:trPr>
          <w:trHeight w:val="263"/>
        </w:trPr>
        <w:tc>
          <w:tcPr>
            <w:tcW w:w="6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534E5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Composition of Preoperative Frailty Index (</w:t>
            </w:r>
            <w:proofErr w:type="spellStart"/>
            <w:r w:rsidRPr="00B31592">
              <w:rPr>
                <w:rFonts w:ascii="Times" w:hAnsi="Times"/>
                <w:color w:val="000000"/>
              </w:rPr>
              <w:t>pFI</w:t>
            </w:r>
            <w:proofErr w:type="spellEnd"/>
            <w:r w:rsidRPr="00B31592">
              <w:rPr>
                <w:rFonts w:ascii="Times" w:hAnsi="Times"/>
                <w:color w:val="000000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B326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93A9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A5E6B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</w:tr>
      <w:tr w:rsidR="002F044A" w:rsidRPr="00B31592" w14:paraId="3E0D94AE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32A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D27D" w14:textId="77777777" w:rsidR="002F044A" w:rsidRPr="00B31592" w:rsidRDefault="002F044A" w:rsidP="002802C5">
            <w:pPr>
              <w:rPr>
                <w:rFonts w:ascii="Times" w:hAnsi="Time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F5BA" w14:textId="77777777" w:rsidR="002F044A" w:rsidRPr="00B31592" w:rsidRDefault="002F044A" w:rsidP="002802C5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3C520" w14:textId="77777777" w:rsidR="002F044A" w:rsidRPr="00B31592" w:rsidRDefault="002F044A" w:rsidP="002802C5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Points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2D53" w14:textId="77777777" w:rsidR="002F044A" w:rsidRPr="00B31592" w:rsidRDefault="002F044A" w:rsidP="002802C5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 </w:t>
            </w:r>
          </w:p>
        </w:tc>
      </w:tr>
      <w:tr w:rsidR="002F044A" w:rsidRPr="00B31592" w14:paraId="7F5A3F4F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DB4A6" w14:textId="77777777" w:rsidR="002F044A" w:rsidRPr="00B31592" w:rsidRDefault="002F044A" w:rsidP="002802C5">
            <w:pPr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Variable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80B2F" w14:textId="77777777" w:rsidR="002F044A" w:rsidRPr="00B31592" w:rsidRDefault="002F044A" w:rsidP="002802C5">
            <w:pPr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Source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203D4" w14:textId="77777777" w:rsidR="002F044A" w:rsidRPr="00B31592" w:rsidRDefault="002F044A" w:rsidP="002802C5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9E2AA" w14:textId="77777777" w:rsidR="002F044A" w:rsidRPr="00B31592" w:rsidRDefault="002F044A" w:rsidP="002802C5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0.5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956F9" w14:textId="77777777" w:rsidR="002F044A" w:rsidRPr="00B31592" w:rsidRDefault="002F044A" w:rsidP="002802C5">
            <w:pPr>
              <w:jc w:val="center"/>
              <w:rPr>
                <w:rFonts w:ascii="Times" w:hAnsi="Times"/>
                <w:b/>
                <w:bCs/>
                <w:color w:val="000000"/>
              </w:rPr>
            </w:pPr>
            <w:r w:rsidRPr="00B31592">
              <w:rPr>
                <w:rFonts w:ascii="Times" w:hAnsi="Times"/>
                <w:b/>
                <w:bCs/>
                <w:color w:val="000000"/>
              </w:rPr>
              <w:t>1</w:t>
            </w:r>
          </w:p>
        </w:tc>
      </w:tr>
      <w:tr w:rsidR="002F044A" w:rsidRPr="00B31592" w14:paraId="326E4E32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BB07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Anticholinergic risk scale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C2CD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ODB*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8025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EDBEF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1-2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443B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&gt;2</w:t>
            </w:r>
          </w:p>
        </w:tc>
      </w:tr>
      <w:tr w:rsidR="002F044A" w:rsidRPr="00B31592" w14:paraId="1B4A9C83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A7EF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Arrhythmia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5883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56784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1093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9FA1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471701CC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09D6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Cancer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0BB8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7556F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D530A8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72C0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23E297EE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F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Cerebrovascular disease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8ACD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2CE7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7659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8B88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27E5A1A9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4FC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Chronic obstructive pulmonary disease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D96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COPD algorithm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199F7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C662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F22E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5BFEFFCE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86CB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Dementia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EA5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1DBB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63ED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802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731BA2F4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5F0C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Dental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7B3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K00-K14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6DDC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7471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9D8A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4CAAFF80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5EB5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Dermatologic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072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L00-L99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4C60E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EBAD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7777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7B3B302D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A139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Diabetes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EBBC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Diabetes algorithm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977F1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B40E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EE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40F5A8D5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1EE4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Dialysis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413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77F2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6A5C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71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079E5A71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C98C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Drug or alcohol abuse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D55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FC134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3A3C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one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285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both</w:t>
            </w:r>
          </w:p>
        </w:tc>
      </w:tr>
      <w:tr w:rsidR="002F044A" w:rsidRPr="00B31592" w14:paraId="286BC352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4371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Heart failure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2E33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Heart failure algorithm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146C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85EC0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D1C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4E539D6A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D636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Hemiparesis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C303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42B6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2A64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B5AE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5F7E053E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D71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History of falls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A5B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W0-W19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33CE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54BE4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7DA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078965FF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D92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Home oxygen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38AE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ADP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8769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9EB7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72F8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2C246437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935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 xml:space="preserve">HOMR Score 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781E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Calculated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2E3C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0-21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890AB4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22-55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8B2F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&gt;55</w:t>
            </w:r>
          </w:p>
        </w:tc>
      </w:tr>
      <w:tr w:rsidR="002F044A" w:rsidRPr="00B31592" w14:paraId="5973F893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592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Hypertension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92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Hypertension algorithm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13FF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0643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584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4EA76347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115E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 xml:space="preserve">Injury 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78E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S00-T14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9355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06B1B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A12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15B897C1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880B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Liver disease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BB08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EDBC0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13748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987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55AF99F0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7411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 xml:space="preserve">Multimorbidity 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FC8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Charlson</w:t>
            </w:r>
            <w:proofErr w:type="spellEnd"/>
            <w:r w:rsidRPr="00B31592">
              <w:rPr>
                <w:rFonts w:ascii="Times" w:hAnsi="Times"/>
                <w:color w:val="000000"/>
              </w:rPr>
              <w:t xml:space="preserve"> score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34BF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556E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1-2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3DE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&gt;2</w:t>
            </w:r>
          </w:p>
        </w:tc>
      </w:tr>
      <w:tr w:rsidR="002F044A" w:rsidRPr="00B31592" w14:paraId="377E308E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3A1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Myocardial Infarction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05A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Myocardial infarction algorithm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C96D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4AB3F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F9B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46DD8DA4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989DB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Peripheral vascular disease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A8156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06D9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8761E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5550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323156B1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FB388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Psychosocial (minor or stable)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731E9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R45, Z60, Z73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298C1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AE72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72A0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0B73BB3F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93CD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Resource use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E99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 xml:space="preserve">Pre-index total costs quintile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7363B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0-1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8365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2-3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CD2B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4-5</w:t>
            </w:r>
          </w:p>
        </w:tc>
      </w:tr>
      <w:tr w:rsidR="002F044A" w:rsidRPr="00B31592" w14:paraId="56AF652D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2472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Rheumatic disease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AF9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3B91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17264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2C8A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203DBC15" w14:textId="77777777" w:rsidTr="002802C5">
        <w:trPr>
          <w:trHeight w:val="47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4E49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 xml:space="preserve">Socioeconomic status 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FF51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Census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B9420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top 2 quintiles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E7754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middle quintile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493FA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bottom 2 quintiles</w:t>
            </w:r>
          </w:p>
        </w:tc>
      </w:tr>
      <w:tr w:rsidR="002F044A" w:rsidRPr="00B31592" w14:paraId="59EEFAE7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5386F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Ear, Nose, Throat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2ED1D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R44, R47, H60-H95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F55D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4DE183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63CF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01879E20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C4FC0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Eye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C5ECE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ICD-10 H00-H59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DC772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94C9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E19A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B31592" w14:paraId="2B2C1ACC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E88C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Supported living environment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22B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CCRS/HCD/LTC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AB2B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73AA6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B2C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</w:tr>
      <w:tr w:rsidR="002F044A" w:rsidRPr="00B31592" w14:paraId="72998F70" w14:textId="77777777" w:rsidTr="002802C5">
        <w:trPr>
          <w:trHeight w:val="263"/>
        </w:trPr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CC658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Weight loss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DB0" w14:textId="77777777" w:rsidR="002F044A" w:rsidRPr="00B31592" w:rsidRDefault="002F044A" w:rsidP="002802C5">
            <w:pPr>
              <w:rPr>
                <w:rFonts w:ascii="Times" w:hAnsi="Times"/>
                <w:color w:val="000000"/>
              </w:rPr>
            </w:pPr>
            <w:proofErr w:type="spellStart"/>
            <w:r w:rsidRPr="00B31592">
              <w:rPr>
                <w:rFonts w:ascii="Times" w:hAnsi="Times"/>
                <w:color w:val="000000"/>
              </w:rPr>
              <w:t>Elixhauser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3EC1D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none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35B97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945D9" w14:textId="77777777" w:rsidR="002F044A" w:rsidRPr="00B31592" w:rsidRDefault="002F044A" w:rsidP="002802C5">
            <w:pPr>
              <w:jc w:val="center"/>
              <w:rPr>
                <w:rFonts w:ascii="Times" w:hAnsi="Times"/>
                <w:color w:val="000000"/>
              </w:rPr>
            </w:pPr>
            <w:r w:rsidRPr="00B31592">
              <w:rPr>
                <w:rFonts w:ascii="Times" w:hAnsi="Times"/>
                <w:color w:val="000000"/>
              </w:rPr>
              <w:t>present</w:t>
            </w:r>
          </w:p>
        </w:tc>
      </w:tr>
      <w:tr w:rsidR="002F044A" w:rsidRPr="004416BF" w14:paraId="69B298B6" w14:textId="77777777" w:rsidTr="002802C5">
        <w:trPr>
          <w:trHeight w:val="653"/>
        </w:trPr>
        <w:tc>
          <w:tcPr>
            <w:tcW w:w="9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0B453" w14:textId="775746F2" w:rsidR="002F044A" w:rsidRPr="004416BF" w:rsidRDefault="002F044A" w:rsidP="002802C5">
            <w:pPr>
              <w:rPr>
                <w:rFonts w:ascii="Times" w:hAnsi="Times"/>
                <w:color w:val="000000"/>
                <w:sz w:val="16"/>
                <w:szCs w:val="16"/>
              </w:rPr>
            </w:pPr>
            <w:r w:rsidRPr="004416BF">
              <w:rPr>
                <w:rFonts w:ascii="Times" w:hAnsi="Times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4416BF">
              <w:rPr>
                <w:rFonts w:ascii="Times" w:hAnsi="Times"/>
                <w:color w:val="000000"/>
                <w:sz w:val="16"/>
                <w:szCs w:val="16"/>
              </w:rPr>
              <w:t>pFI</w:t>
            </w:r>
            <w:proofErr w:type="spellEnd"/>
            <w:r w:rsidRPr="004416BF">
              <w:rPr>
                <w:rFonts w:ascii="Times" w:hAnsi="Times"/>
                <w:color w:val="000000"/>
                <w:sz w:val="16"/>
                <w:szCs w:val="16"/>
              </w:rPr>
              <w:t xml:space="preserve"> is calculated by adding the score for each deficit measured and dividing this number by the total number of deficits measured (i.e., 30). ADP: Assistive Devices Program; CCRS: Continuing Care Reporting System; COPD: Chronic Obstructive Pulmonary Disease; HCD: Home Care Database; ICD-10: International Classification of Diseases, Tenth Edition; ODB: Ontario Drug Benefits Program; *calculated according to methods of Rudolph et. al., Archives of Internal Medicine, 2008; 168:508-13</w:t>
            </w:r>
            <w:r w:rsidR="00E17DBA" w:rsidRPr="004416BF">
              <w:rPr>
                <w:rFonts w:ascii="Times" w:hAnsi="Times"/>
                <w:color w:val="000000"/>
                <w:sz w:val="16"/>
                <w:szCs w:val="16"/>
              </w:rPr>
              <w:t xml:space="preserve">; this </w:t>
            </w:r>
            <w:r w:rsidR="00522132" w:rsidRPr="004416BF">
              <w:rPr>
                <w:rFonts w:ascii="Times" w:hAnsi="Times"/>
                <w:color w:val="000000"/>
                <w:sz w:val="16"/>
                <w:szCs w:val="16"/>
              </w:rPr>
              <w:t xml:space="preserve">score is calculated by assigning anticholinergic risk values to each prescription medication taken and then </w:t>
            </w:r>
            <w:r w:rsidR="00EF1AE9" w:rsidRPr="004416BF">
              <w:rPr>
                <w:rFonts w:ascii="Times" w:hAnsi="Times"/>
                <w:color w:val="000000"/>
                <w:sz w:val="16"/>
                <w:szCs w:val="16"/>
              </w:rPr>
              <w:t>based on the total sum of all values for a given patient</w:t>
            </w:r>
            <w:r w:rsidRPr="004416BF"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 w:rsidR="00687CCA" w:rsidRPr="004416BF">
              <w:rPr>
                <w:rFonts w:ascii="Times" w:hAnsi="Times"/>
                <w:color w:val="000000"/>
                <w:sz w:val="16"/>
                <w:szCs w:val="16"/>
              </w:rPr>
              <w:t xml:space="preserve"> Home oxygen denotes receipt of home oxygen, which is provincially funded in Ontario. Socioeconomic status is based on neighborhood income quintile, </w:t>
            </w:r>
            <w:r w:rsidR="00DB2F65" w:rsidRPr="004416BF">
              <w:rPr>
                <w:rFonts w:ascii="Times" w:hAnsi="Times"/>
                <w:color w:val="000000"/>
                <w:sz w:val="16"/>
                <w:szCs w:val="16"/>
              </w:rPr>
              <w:t>which is calculated from the median income in each forward sortation area</w:t>
            </w:r>
            <w:r w:rsidR="004E4B75" w:rsidRPr="004416BF">
              <w:rPr>
                <w:rFonts w:ascii="Times" w:hAnsi="Times"/>
                <w:color w:val="000000"/>
                <w:sz w:val="16"/>
                <w:szCs w:val="16"/>
              </w:rPr>
              <w:t>, the smallest geographically identifiable jurisdiction in our data. Supported living status is captured from the Home Care and Continuing Care databases, that capture receipt of home-based, and non-hospital institutional care</w:t>
            </w:r>
            <w:r w:rsidR="00BB7C56" w:rsidRPr="004416BF">
              <w:rPr>
                <w:rFonts w:ascii="Times" w:hAnsi="Times"/>
                <w:color w:val="000000"/>
                <w:sz w:val="16"/>
                <w:szCs w:val="16"/>
              </w:rPr>
              <w:t>, respectively.</w:t>
            </w:r>
          </w:p>
        </w:tc>
      </w:tr>
    </w:tbl>
    <w:p w14:paraId="4ABAEA61" w14:textId="77777777" w:rsidR="00654ED3" w:rsidRDefault="006610CD"/>
    <w:tbl>
      <w:tblPr>
        <w:tblW w:w="9320" w:type="dxa"/>
        <w:tblLook w:val="04A0" w:firstRow="1" w:lastRow="0" w:firstColumn="1" w:lastColumn="0" w:noHBand="0" w:noVBand="1"/>
      </w:tblPr>
      <w:tblGrid>
        <w:gridCol w:w="4440"/>
        <w:gridCol w:w="1960"/>
        <w:gridCol w:w="1760"/>
        <w:gridCol w:w="1160"/>
      </w:tblGrid>
      <w:tr w:rsidR="004416BF" w14:paraId="78415C3D" w14:textId="77777777" w:rsidTr="004416BF">
        <w:trPr>
          <w:trHeight w:val="283"/>
        </w:trPr>
        <w:tc>
          <w:tcPr>
            <w:tcW w:w="4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796B9A74" w14:textId="0B029BF8" w:rsidR="004416BF" w:rsidRDefault="004416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b/>
                <w:bCs/>
                <w:color w:val="000000"/>
                <w:sz w:val="20"/>
                <w:szCs w:val="20"/>
              </w:rPr>
              <w:t>Deficit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115AA3" w14:textId="77777777" w:rsidR="004416BF" w:rsidRDefault="004416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 Frailty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CEFADB" w14:textId="25BE378A" w:rsidR="004416BF" w:rsidRDefault="004416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Frailty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337A5CA8" w14:textId="77777777" w:rsidR="004416BF" w:rsidRDefault="004416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ASD</w:t>
            </w:r>
          </w:p>
        </w:tc>
      </w:tr>
      <w:tr w:rsidR="004416BF" w14:paraId="7A848D99" w14:textId="77777777" w:rsidTr="004416BF">
        <w:trPr>
          <w:trHeight w:val="283"/>
        </w:trPr>
        <w:tc>
          <w:tcPr>
            <w:tcW w:w="4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7C8DBD" w14:textId="77777777" w:rsidR="004416BF" w:rsidRDefault="004416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5675F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n=148,357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F914CC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n=23,219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F9E32" w14:textId="77777777" w:rsidR="004416BF" w:rsidRDefault="004416B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16BF" w14:paraId="7969C25E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91194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Anticholinergic risk scale &gt;2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4434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34,797 (23.5%)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656A2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12,694 (54.7%)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65C25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4416BF" w14:paraId="3CC1E27C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8290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Anticholinergic risk scale 1-2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7B63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11,713 (7.9%)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7198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2,640 (11.4%)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B21F1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</w:t>
            </w:r>
          </w:p>
        </w:tc>
      </w:tr>
      <w:tr w:rsidR="004416BF" w14:paraId="517102B9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A70E8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Arrhythmia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A6786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2,305 (1.6%)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2413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2,623 (11.3%)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DBEE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</w:t>
            </w:r>
          </w:p>
        </w:tc>
      </w:tr>
      <w:tr w:rsidR="004416BF" w14:paraId="66011F1F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26180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353B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12,846 (8.7%)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FD386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6,633 (28.6%)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8410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0.53</w:t>
            </w:r>
          </w:p>
        </w:tc>
      </w:tr>
      <w:tr w:rsidR="004416BF" w14:paraId="3375CE3F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3C2C6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Cerebrovascular disease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40FF5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1,351 (0.9%)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4DE4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1,512 (6.5%)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127E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</w:t>
            </w:r>
          </w:p>
        </w:tc>
      </w:tr>
      <w:tr w:rsidR="004416BF" w14:paraId="6E5BBBA6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193C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Charlson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score &gt;2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2DE2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8,143 (5.5%)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33D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10,587 (45.6%)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BDAF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1.04</w:t>
            </w:r>
          </w:p>
        </w:tc>
      </w:tr>
      <w:tr w:rsidR="004416BF" w14:paraId="15CFC745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AB6A1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Charlson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score 1-2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D2AE8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12,424 (8.4%)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4001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4,982 (21.5%)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53FD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0.37</w:t>
            </w:r>
          </w:p>
        </w:tc>
      </w:tr>
      <w:tr w:rsidR="004416BF" w14:paraId="519A0F6C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C6E91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Chronic obstructive </w:t>
            </w:r>
            <w:proofErr w:type="gramStart"/>
            <w:r>
              <w:rPr>
                <w:color w:val="000000"/>
                <w:sz w:val="20"/>
                <w:szCs w:val="20"/>
              </w:rPr>
              <w:t>pulmonary  disease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A9BF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39,828 (26.8%)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E7D7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14,353 (61.8%)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230A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</w:t>
            </w:r>
          </w:p>
        </w:tc>
      </w:tr>
      <w:tr w:rsidR="004416BF" w14:paraId="02BC6857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E8571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066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 (0.1%)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CB320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 (3.1%)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0A952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</w:t>
            </w:r>
          </w:p>
        </w:tc>
      </w:tr>
      <w:tr w:rsidR="004416BF" w14:paraId="47B3D937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B71E8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Dental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D806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1,418 (1.0%)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3F1A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 (3.7%)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ACCE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</w:t>
            </w:r>
          </w:p>
        </w:tc>
      </w:tr>
      <w:tr w:rsidR="004416BF" w14:paraId="79467DE0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0F343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Dermatologic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3AD8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22,537 (15.2%)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B1A5A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6,909 (29.8%)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EDD2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</w:t>
            </w:r>
          </w:p>
        </w:tc>
      </w:tr>
      <w:tr w:rsidR="004416BF" w14:paraId="20987FAD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7E573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A35F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36,614 (24.7%)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5C9C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14,192 (61.1%)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AD13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0.79</w:t>
            </w:r>
          </w:p>
        </w:tc>
      </w:tr>
      <w:tr w:rsidR="004416BF" w14:paraId="02B6E56A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6C3ED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Dialysis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717C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(0.0%)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7F2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(0.2%)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365D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</w:t>
            </w:r>
          </w:p>
        </w:tc>
      </w:tr>
      <w:tr w:rsidR="004416BF" w14:paraId="60655C70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BD419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Drug and alcohol abuse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48C9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(0.0%)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4E9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 (0.6%)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4A4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</w:t>
            </w:r>
          </w:p>
        </w:tc>
      </w:tr>
      <w:tr w:rsidR="004416BF" w14:paraId="26654450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272E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Drug or alcohol abuse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D82C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 (0.5%)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8B5E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 (2.9%)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70EF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0.19</w:t>
            </w:r>
          </w:p>
        </w:tc>
      </w:tr>
      <w:tr w:rsidR="004416BF" w14:paraId="69845D00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A8835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Ear, Nose, Throat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8163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4,596 (3.1%)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432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1,381 (5.9%)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022D0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</w:t>
            </w:r>
          </w:p>
        </w:tc>
      </w:tr>
      <w:tr w:rsidR="004416BF" w14:paraId="35318E5B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0C83B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Eye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E433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93,318 (62.9%)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68A1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16,407 (70.6%)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DB6FA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</w:t>
            </w:r>
          </w:p>
        </w:tc>
      </w:tr>
      <w:tr w:rsidR="004416BF" w14:paraId="377BBFA0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F0483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History of falls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CEC0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(0.2%)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8C67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 (1.2%)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232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</w:t>
            </w:r>
          </w:p>
        </w:tc>
      </w:tr>
      <w:tr w:rsidR="004416BF" w14:paraId="317C9B12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2DFA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82EC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7,047 (4.8%)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66CE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7,533 (32.4%)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DAE1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0.76</w:t>
            </w:r>
          </w:p>
        </w:tc>
      </w:tr>
      <w:tr w:rsidR="004416BF" w14:paraId="31D7FA3C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5DEE7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Hemiparesis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503D5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(0.0%)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D9E6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(0.9%)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40606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</w:t>
            </w:r>
          </w:p>
        </w:tc>
      </w:tr>
      <w:tr w:rsidR="004416BF" w14:paraId="30B24CEA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9DDF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Home oxygen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5831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 (0.3%)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42405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 (3.8%)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6B3F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0.25</w:t>
            </w:r>
          </w:p>
        </w:tc>
      </w:tr>
      <w:tr w:rsidR="004416BF" w14:paraId="578FCD88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8C77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HOMR Score 22-55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29AC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58,019 (39.1%)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9A80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18,058 (77.8%)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E50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0.85</w:t>
            </w:r>
          </w:p>
        </w:tc>
      </w:tr>
      <w:tr w:rsidR="004416BF" w14:paraId="58F39B07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CC208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8EC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38,038 (25.6%)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DB138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9,263 (39.9%)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9E2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0.31</w:t>
            </w:r>
          </w:p>
        </w:tc>
      </w:tr>
      <w:tr w:rsidR="004416BF" w14:paraId="18A88E49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F2E31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Injury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BCEB0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82,523 (72.3%)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51B51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19,093 (82.2%)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C30C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</w:t>
            </w:r>
          </w:p>
        </w:tc>
      </w:tr>
      <w:tr w:rsidR="004416BF" w14:paraId="7AA7BF41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741CA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Supported living status (institutional)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AFDC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(0.2%)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E5DB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 (3.1%)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2AAA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0.23</w:t>
            </w:r>
          </w:p>
        </w:tc>
      </w:tr>
      <w:tr w:rsidR="004416BF" w14:paraId="4B6806F1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1186D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Supported living status (home care)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2D22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21,656 (14.6%)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52A1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6,794 (29.3%)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C7B0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0.36</w:t>
            </w:r>
          </w:p>
        </w:tc>
      </w:tr>
      <w:tr w:rsidR="004416BF" w14:paraId="461F6396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F381F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8DEAB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5,305 (3.6%)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3250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4,008 (17.3%)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1693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0.46</w:t>
            </w:r>
          </w:p>
        </w:tc>
      </w:tr>
      <w:tr w:rsidR="004416BF" w14:paraId="3838A56F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C5932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695A0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 (0.9%)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6F962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1,823 (7.9%)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A11C6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0.35</w:t>
            </w:r>
          </w:p>
        </w:tc>
      </w:tr>
      <w:tr w:rsidR="004416BF" w14:paraId="2B3405EE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5841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BA02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 (0.3%)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DD6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 (1.5%)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A4B8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</w:t>
            </w:r>
          </w:p>
        </w:tc>
      </w:tr>
      <w:tr w:rsidR="004416BF" w14:paraId="458A3DD6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44246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Preoperative resource utilization middle quintile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F1D7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56,493 (38.1%)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B4F1A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 (1.2%)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7A9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</w:t>
            </w:r>
          </w:p>
        </w:tc>
      </w:tr>
      <w:tr w:rsidR="004416BF" w14:paraId="550CA9E3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31720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Preoperative resource utilization top 2 quintiles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B2567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91,864 (61.9%)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C725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22,941 (98.8%)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B168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1.05</w:t>
            </w:r>
          </w:p>
        </w:tc>
      </w:tr>
      <w:tr w:rsidR="004416BF" w14:paraId="53E00198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E51C3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Psychosocial (minor or stable)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3A00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34,426 (23.2%)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FD00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12,710 (54.8%)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BF34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0.68</w:t>
            </w:r>
          </w:p>
        </w:tc>
      </w:tr>
      <w:tr w:rsidR="004416BF" w14:paraId="29AED7C4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9FD29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Rheumatic Disease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1EFAD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 (0.2%)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49B4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(1.7%)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523E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</w:t>
            </w:r>
          </w:p>
        </w:tc>
      </w:tr>
      <w:tr w:rsidR="004416BF" w14:paraId="5A3BD6D6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85072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Socioeconomic status (lowest 2 quintiles)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301D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55,862 (37.7%)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BCDC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10,050 (43.3%)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16E29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</w:t>
            </w:r>
          </w:p>
        </w:tc>
      </w:tr>
      <w:tr w:rsidR="004416BF" w14:paraId="2AFD4F62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DB592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Socioeconomic status (middle quintile)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B761C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30,388 (20.5%)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EE25E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4,669 (20.1%)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F13F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</w:tr>
      <w:tr w:rsidR="004416BF" w14:paraId="6321667E" w14:textId="77777777" w:rsidTr="004416BF">
        <w:trPr>
          <w:trHeight w:val="283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B30FA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Weight loss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2C083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 (0.5%)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D0255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 (3.5%)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34C2C8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</w:t>
            </w:r>
          </w:p>
        </w:tc>
      </w:tr>
      <w:tr w:rsidR="004416BF" w14:paraId="27AEC86D" w14:textId="77777777" w:rsidTr="004416BF">
        <w:trPr>
          <w:trHeight w:val="240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5E8EF" w14:textId="77777777" w:rsidR="004416BF" w:rsidRDefault="004416B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ASD: Absolute Standardized Difference; HOMR: Hospital One Year Mortality Risk;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5E7A6" w14:textId="77777777" w:rsidR="004416BF" w:rsidRDefault="004416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4A871" w14:textId="77777777" w:rsidR="004416BF" w:rsidRDefault="004416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4416BF" w14:paraId="656F3FA7" w14:textId="77777777" w:rsidTr="004416BF">
        <w:trPr>
          <w:trHeight w:val="2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BBB1C" w14:textId="77777777" w:rsidR="004416BF" w:rsidRDefault="004416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6263F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60925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98424" w14:textId="77777777" w:rsidR="004416BF" w:rsidRDefault="00441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DE67886" w14:textId="77777777" w:rsidR="009562B9" w:rsidRDefault="009562B9"/>
    <w:sectPr w:rsidR="009562B9" w:rsidSect="007C722F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6DD2" w14:textId="77777777" w:rsidR="002074D2" w:rsidRDefault="002074D2">
      <w:r>
        <w:separator/>
      </w:r>
    </w:p>
  </w:endnote>
  <w:endnote w:type="continuationSeparator" w:id="0">
    <w:p w14:paraId="3B1C95BA" w14:textId="77777777" w:rsidR="002074D2" w:rsidRDefault="0020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77523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F8365B" w14:textId="77777777" w:rsidR="000B5B62" w:rsidRDefault="00C307A7" w:rsidP="003C30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264A17FA" w14:textId="77777777" w:rsidR="000B5B62" w:rsidRDefault="006610CD" w:rsidP="00276D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1105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BF57B9" w14:textId="77777777" w:rsidR="000B5B62" w:rsidRDefault="00C307A7" w:rsidP="003C30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953A2F" w14:textId="77777777" w:rsidR="000B5B62" w:rsidRDefault="006610CD" w:rsidP="00276D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1CA0" w14:textId="77777777" w:rsidR="002074D2" w:rsidRDefault="002074D2">
      <w:r>
        <w:separator/>
      </w:r>
    </w:p>
  </w:footnote>
  <w:footnote w:type="continuationSeparator" w:id="0">
    <w:p w14:paraId="2B015328" w14:textId="77777777" w:rsidR="002074D2" w:rsidRDefault="0020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D55"/>
    <w:multiLevelType w:val="multilevel"/>
    <w:tmpl w:val="283AC4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19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4A"/>
    <w:rsid w:val="00047C3B"/>
    <w:rsid w:val="00047D31"/>
    <w:rsid w:val="00053001"/>
    <w:rsid w:val="00062A24"/>
    <w:rsid w:val="00072C6B"/>
    <w:rsid w:val="000A007D"/>
    <w:rsid w:val="000C1EC0"/>
    <w:rsid w:val="000E649E"/>
    <w:rsid w:val="001456C2"/>
    <w:rsid w:val="001647F7"/>
    <w:rsid w:val="001B5807"/>
    <w:rsid w:val="001C343E"/>
    <w:rsid w:val="001F4EC3"/>
    <w:rsid w:val="001F7DEF"/>
    <w:rsid w:val="002006B9"/>
    <w:rsid w:val="00204955"/>
    <w:rsid w:val="002074D2"/>
    <w:rsid w:val="0021009B"/>
    <w:rsid w:val="0021136D"/>
    <w:rsid w:val="00220507"/>
    <w:rsid w:val="0024275B"/>
    <w:rsid w:val="002D0059"/>
    <w:rsid w:val="002D41E4"/>
    <w:rsid w:val="002E151B"/>
    <w:rsid w:val="002E535A"/>
    <w:rsid w:val="002F044A"/>
    <w:rsid w:val="00306225"/>
    <w:rsid w:val="003079CB"/>
    <w:rsid w:val="0037299D"/>
    <w:rsid w:val="0038216C"/>
    <w:rsid w:val="003D3CE0"/>
    <w:rsid w:val="00436828"/>
    <w:rsid w:val="004416BF"/>
    <w:rsid w:val="00453BB1"/>
    <w:rsid w:val="00491349"/>
    <w:rsid w:val="00492E18"/>
    <w:rsid w:val="004A1134"/>
    <w:rsid w:val="004B11C0"/>
    <w:rsid w:val="004C36F3"/>
    <w:rsid w:val="004E4B75"/>
    <w:rsid w:val="004E4FE2"/>
    <w:rsid w:val="004F1F62"/>
    <w:rsid w:val="00502460"/>
    <w:rsid w:val="00522132"/>
    <w:rsid w:val="005367B8"/>
    <w:rsid w:val="00542290"/>
    <w:rsid w:val="00553C8C"/>
    <w:rsid w:val="00570FB8"/>
    <w:rsid w:val="005B4E6B"/>
    <w:rsid w:val="005C4730"/>
    <w:rsid w:val="005D5DDC"/>
    <w:rsid w:val="005E17C0"/>
    <w:rsid w:val="005E4018"/>
    <w:rsid w:val="005E59DF"/>
    <w:rsid w:val="00626325"/>
    <w:rsid w:val="00654411"/>
    <w:rsid w:val="00660E47"/>
    <w:rsid w:val="006610CD"/>
    <w:rsid w:val="0066790A"/>
    <w:rsid w:val="00676B89"/>
    <w:rsid w:val="006863AB"/>
    <w:rsid w:val="00687CCA"/>
    <w:rsid w:val="0069564C"/>
    <w:rsid w:val="006A64D0"/>
    <w:rsid w:val="00724E84"/>
    <w:rsid w:val="007738C5"/>
    <w:rsid w:val="007C02B6"/>
    <w:rsid w:val="007C722F"/>
    <w:rsid w:val="00817CBE"/>
    <w:rsid w:val="00877564"/>
    <w:rsid w:val="00887EBC"/>
    <w:rsid w:val="008B04BF"/>
    <w:rsid w:val="008B1388"/>
    <w:rsid w:val="008C460E"/>
    <w:rsid w:val="008D4BDF"/>
    <w:rsid w:val="008D6731"/>
    <w:rsid w:val="008F4C92"/>
    <w:rsid w:val="009028F8"/>
    <w:rsid w:val="00937CA8"/>
    <w:rsid w:val="00945475"/>
    <w:rsid w:val="009562B9"/>
    <w:rsid w:val="00976D17"/>
    <w:rsid w:val="00977F61"/>
    <w:rsid w:val="009A7E85"/>
    <w:rsid w:val="009B2BA3"/>
    <w:rsid w:val="00A0739F"/>
    <w:rsid w:val="00A07C5A"/>
    <w:rsid w:val="00A2326F"/>
    <w:rsid w:val="00A66446"/>
    <w:rsid w:val="00AC6E95"/>
    <w:rsid w:val="00B00E12"/>
    <w:rsid w:val="00B02C5D"/>
    <w:rsid w:val="00B15426"/>
    <w:rsid w:val="00B43C50"/>
    <w:rsid w:val="00B46182"/>
    <w:rsid w:val="00B47132"/>
    <w:rsid w:val="00B67C27"/>
    <w:rsid w:val="00BB7C56"/>
    <w:rsid w:val="00BD3D4E"/>
    <w:rsid w:val="00BE00A5"/>
    <w:rsid w:val="00C007BE"/>
    <w:rsid w:val="00C24D35"/>
    <w:rsid w:val="00C307A7"/>
    <w:rsid w:val="00C31F0E"/>
    <w:rsid w:val="00C42755"/>
    <w:rsid w:val="00C473A2"/>
    <w:rsid w:val="00C96306"/>
    <w:rsid w:val="00CA4600"/>
    <w:rsid w:val="00D33060"/>
    <w:rsid w:val="00D516A7"/>
    <w:rsid w:val="00D57A15"/>
    <w:rsid w:val="00D924FB"/>
    <w:rsid w:val="00DB2F65"/>
    <w:rsid w:val="00E17DBA"/>
    <w:rsid w:val="00E3557C"/>
    <w:rsid w:val="00E50EA9"/>
    <w:rsid w:val="00EB5C9D"/>
    <w:rsid w:val="00EC6901"/>
    <w:rsid w:val="00EE15DE"/>
    <w:rsid w:val="00EF1AE9"/>
    <w:rsid w:val="00FA156B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A73D"/>
  <w15:chartTrackingRefBased/>
  <w15:docId w15:val="{D1FDCDB5-7CCB-FB4C-8206-BE0BD92C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4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0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4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F044A"/>
  </w:style>
  <w:style w:type="paragraph" w:styleId="FootnoteText">
    <w:name w:val="footnote text"/>
    <w:basedOn w:val="Normal"/>
    <w:link w:val="FootnoteTextChar"/>
    <w:semiHidden/>
    <w:rsid w:val="002F044A"/>
    <w:rPr>
      <w:sz w:val="20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semiHidden/>
    <w:rsid w:val="002F044A"/>
    <w:rPr>
      <w:rFonts w:ascii="Times New Roman" w:eastAsia="Times New Roman" w:hAnsi="Times New Roman" w:cs="Times New Roman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McGinn</dc:creator>
  <cp:keywords/>
  <dc:description/>
  <cp:lastModifiedBy>Daniel McIsaac</cp:lastModifiedBy>
  <cp:revision>9</cp:revision>
  <dcterms:created xsi:type="dcterms:W3CDTF">2023-03-27T23:21:00Z</dcterms:created>
  <dcterms:modified xsi:type="dcterms:W3CDTF">2023-03-30T13:17:00Z</dcterms:modified>
</cp:coreProperties>
</file>