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5862" w14:textId="237E3DC4" w:rsidR="00D62191" w:rsidRDefault="00C46AC7">
      <w:pPr>
        <w:rPr>
          <w:sz w:val="24"/>
          <w:szCs w:val="24"/>
        </w:rPr>
      </w:pPr>
      <w:r w:rsidRPr="00C46AC7">
        <w:rPr>
          <w:b/>
          <w:bCs/>
          <w:sz w:val="24"/>
          <w:szCs w:val="24"/>
        </w:rPr>
        <w:t>Table S1</w:t>
      </w:r>
      <w:r w:rsidRPr="00C46AC7">
        <w:rPr>
          <w:sz w:val="24"/>
          <w:szCs w:val="24"/>
        </w:rPr>
        <w:t xml:space="preserve">: Comparison of likelihood to leave current job within the next 2 </w:t>
      </w:r>
      <w:proofErr w:type="gramStart"/>
      <w:r w:rsidRPr="00C46AC7">
        <w:rPr>
          <w:sz w:val="24"/>
          <w:szCs w:val="24"/>
        </w:rPr>
        <w:t>years</w:t>
      </w:r>
      <w:proofErr w:type="gramEnd"/>
    </w:p>
    <w:p w14:paraId="3D1454A1" w14:textId="4FFF88D1" w:rsidR="00C46AC7" w:rsidRDefault="00C46AC7">
      <w:pPr>
        <w:rPr>
          <w:sz w:val="24"/>
          <w:szCs w:val="24"/>
        </w:rPr>
      </w:pPr>
    </w:p>
    <w:tbl>
      <w:tblPr>
        <w:tblW w:w="14920" w:type="dxa"/>
        <w:jc w:val="center"/>
        <w:tblLook w:val="04A0" w:firstRow="1" w:lastRow="0" w:firstColumn="1" w:lastColumn="0" w:noHBand="0" w:noVBand="1"/>
      </w:tblPr>
      <w:tblGrid>
        <w:gridCol w:w="5660"/>
        <w:gridCol w:w="2320"/>
        <w:gridCol w:w="2320"/>
        <w:gridCol w:w="2320"/>
        <w:gridCol w:w="2300"/>
      </w:tblGrid>
      <w:tr w:rsidR="00C46AC7" w:rsidRPr="00C46AC7" w14:paraId="7D649EB2" w14:textId="77777777" w:rsidTr="00C46AC7">
        <w:trPr>
          <w:trHeight w:val="341"/>
          <w:jc w:val="center"/>
        </w:trPr>
        <w:tc>
          <w:tcPr>
            <w:tcW w:w="5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634FF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C04CF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Likelihood to Leave Current Job within the Next 2 Years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161DF" w14:textId="2FF90F9F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3FC9943B" w14:textId="77777777" w:rsidTr="00C46AC7">
        <w:trPr>
          <w:trHeight w:val="840"/>
          <w:jc w:val="center"/>
        </w:trPr>
        <w:tc>
          <w:tcPr>
            <w:tcW w:w="5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290814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7B304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Unlikely/Very Unlikely</w:t>
            </w: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(n=1169)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30B92CC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(n=559)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B56C7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Likely/Very Likely</w:t>
            </w: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(n=970)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0CF2C0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 value</w:t>
            </w: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(unlikely/very unlikely vs likely/very likely)</w:t>
            </w:r>
          </w:p>
        </w:tc>
      </w:tr>
      <w:tr w:rsidR="00C46AC7" w:rsidRPr="00C46AC7" w14:paraId="0F5C3890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FF4C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AD45" w14:textId="3CF5E972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1125C8" w14:textId="41098438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2AD9" w14:textId="25222EF6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EF7B5B" w14:textId="2B706C4F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4F575B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B25E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East North Central (IL, IN, MI, OH, and WI)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B9F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181 (15.5%)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38B95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73 (13.1%)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DCE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164 (16.9%)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DC68BFE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0.642</w:t>
            </w:r>
          </w:p>
        </w:tc>
      </w:tr>
      <w:tr w:rsidR="00C46AC7" w:rsidRPr="00C46AC7" w14:paraId="5AE0F62D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397A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East South Central (AL, KY, MS, and TN)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6FB4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51 (4.4%)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12933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30 (5.4%)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205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43 (4.4%)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1792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6BD875B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0FA9D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Mid-Atlantic (NY, NJ, and PA)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F97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126 (10.8%)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31B01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88 (15.7%)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1D8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115 (11.9%)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EB6F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8E909F0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E8A4C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Mountain (AZ, CO, ID, MT, NV, NM, UT, and WY)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C501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125 (10.7%)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694AF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43 (7.7%)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999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88 (9.1%)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9B74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787A53BF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F32A5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New England (CT, ME, MA, NH, RI, and VT)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EAD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89 (7.6%)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5B059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38 (6.8%)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2CF3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59 (6.1%)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037A5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878AD5B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B0F0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Pacific (CA, OR, WA, AK, and HI)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A60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191 (16.3%)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C229C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98 (17.5%)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5DE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152 (15.7%)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236F7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4FDFBD17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5693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South Atlantic (DE, MD, VA, WV, NC, SC, GA, FL, and DC)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9091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197 (16.9%)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6D857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99 (17.7%)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6AE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185 (19.1%)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08BC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E3CEB51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60D18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West North Central (IA, KS, MN, MO, NE, ND, and SD)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479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86 (7.4%)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F3EE4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 (5.6%)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064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66 (6.8%)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4F94E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634904BF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C754A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West South Central (AR, LA, OK, and TX)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832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113 (9.7%)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D159B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56 (10%)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CCB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94 (9.7%)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6DB5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2645397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0E6C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027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 (0.6%)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90DEF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70EA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 (0.3%)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959C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3E06EED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BFD4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Prefer not to answer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F3B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 (0.3%)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91B8A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837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 (0.1%)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CF268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7AB0A57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4FB61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Subspecialty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9333" w14:textId="12F7DD7B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17F8FF" w14:textId="49F875CD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83703" w14:textId="5BCC0333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2348E8" w14:textId="3CA3B18A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5817DC8A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81D51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Cardiothoracic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A60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135/1163 (11.6%)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03798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63/557 (11.3%)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A8DE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83/965 (8.6%)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0502D0F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0.185</w:t>
            </w:r>
          </w:p>
        </w:tc>
      </w:tr>
      <w:tr w:rsidR="00C46AC7" w:rsidRPr="00C46AC7" w14:paraId="1F090055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46C2E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Critical Care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F69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35/1163 (3%)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0E6BC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18/557 (3.2%)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725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34/965 (3.5%)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8AD9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78C73E84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E7B5F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C8B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675/1163 (58%)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B4398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311/557 (55.8%)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8F9E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596/965 (61.8%)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27FA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6F468164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57E6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6AC7">
              <w:rPr>
                <w:rFonts w:eastAsia="Times New Roman"/>
                <w:color w:val="000000"/>
                <w:sz w:val="20"/>
                <w:szCs w:val="20"/>
              </w:rPr>
              <w:t>Neuroanesthesiology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D57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24/1163 (2.1%)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4817F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5/557 (0.9%)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B26A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23/965 (2.4%)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95E38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22C2A62C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C0F3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329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44/1163 (3.8%)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A9F47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20/557 (3.6%)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4428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29/965 (3%)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4867C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31F9D16D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DAE24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Pain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E71D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22/1163 (1.9%)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22525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12/557 (2.2%)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DE2D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29/965 (3%)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B543E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4F0B0EF9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0F66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Peds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9CD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139/1163 (12%)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A197D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77/557 (13.8%)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AC68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103/965 (10.7%)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E33E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2DA81AB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344E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Regional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89F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53/1163 (4.6%)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4AF63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30/557 (5.4%)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7C6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42/965 (4.4%)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57997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1F52326A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A5B2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59C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36/1163 (3.1%)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8334E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21/557 (3.8%)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67A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26/965 (2.7%)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E4D87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400EA01B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E1C7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Time since training complete (years)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65DE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16 (10, 24)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BCE26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15 (8, 25)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726F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20 (11, 30)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AEDADA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63693C8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0D85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&gt;40 Hours working in an average week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0556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1033 (88.4%)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A8F8B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494 (88.4%)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AED4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799 (82.4%)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4DCAC9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585EC991" w14:textId="77777777" w:rsidTr="00C46AC7">
        <w:trPr>
          <w:trHeight w:val="300"/>
          <w:jc w:val="center"/>
        </w:trPr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4FF8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Anesthesia staffing shortages experienced in past month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5FC9E4" w14:textId="6EDED831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0FFC8" w14:textId="7618C091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F147DE" w14:textId="2EA062C1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60C3776F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7A92D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Not at all/a little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F39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312 (26.7%)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7AFCA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108 (19.3%)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BD5B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163 (16.8%)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6825353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5FA5FE55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C6D3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A moderate amount/a lot/a great deal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5CE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857 (73.3%)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41D20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451 (80.7%)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19C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807 (83.2%)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44921C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5E2BBDE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AEBA0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Feeling supported in work-life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E56C7" w14:textId="59F94520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E401A9" w14:textId="4ADDD39C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836A" w14:textId="3B0BF298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5E5D3D" w14:textId="546692C6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14410E73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24C52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Not at all/a little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6BF1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426 (36.4%)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6E361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313 (56%)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FA1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669 (69%)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BB47032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4A2B2DA0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14EA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A moderate amount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3254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461 (39.4%)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291D0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192 (34.4%)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C984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213 (22%)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7993E2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51914C42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23BDF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A lot/a great deal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FD7A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282 (24.1%)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41862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54 (9.7%)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34CA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88 (9%)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6039AC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03A7FAAA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75279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Feeling supported in out-of-work life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C545" w14:textId="7E19A2CC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03D5B0" w14:textId="38876964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990D0" w14:textId="3DE2EFC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A5472A" w14:textId="461585F3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6DB8A077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0E84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Not at all/a little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D81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225 (19.3%)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ABA0A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127 (22.7%)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012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266 (27.4%)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E7871F4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6F9594ED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D4C3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A moderate amount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F2D7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323 (27.6%)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1FBB9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177 (31.7%)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904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254 (26.2%)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9DAA4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777622C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F2FA6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A lot/a great deal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CE5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621 (53.1%)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1FD40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255 (45.6%)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68E2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450 (46.4%)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92892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298BA4F6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3AC4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Caregiving responsibilities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531B7" w14:textId="42C0A141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C12261" w14:textId="72F71C9E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C877" w14:textId="0D11C9B8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276647" w14:textId="7E74561B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3209B95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2BCF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981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290 (24.8%)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456A6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161 (28.8%)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EB69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331 (34.1%)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D80D21E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1A35FF22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91747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C73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879 (75.2%)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4EAE8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398 (71.2%)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479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639 (65.9%)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91777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AC7" w:rsidRPr="00C46AC7" w14:paraId="04CD0D75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97918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Gender Identity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75AF8" w14:textId="501847D6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69C059" w14:textId="4E88CAA9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4F184" w14:textId="70D3A124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B25753" w14:textId="01D9C390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66055B5D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9F02F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01B2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381/1145 (33.3%)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ADBBF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198/540 (36.7%)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00F8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292/942 (31%)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830750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0.275</w:t>
            </w:r>
          </w:p>
        </w:tc>
      </w:tr>
      <w:tr w:rsidR="00C46AC7" w:rsidRPr="00C46AC7" w14:paraId="5F6BD852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EDADE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7FEA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736/1145 (64.3%)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8B2B3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313/540 (58%)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5DCC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615/942 (65.3%)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4C66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0FE10A12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B481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963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2/1145 (0.2%)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2AEEF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4/540 (0.7%)</w:t>
            </w:r>
          </w:p>
        </w:tc>
        <w:tc>
          <w:tcPr>
            <w:tcW w:w="2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F110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2/942 (0.2%)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DE72A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19316A1C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1E1E" w14:textId="77777777" w:rsidR="00C46AC7" w:rsidRPr="00C46AC7" w:rsidRDefault="00C46AC7" w:rsidP="00C46AC7">
            <w:pPr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Prefer not to answer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C4CF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26/1145 (2.3%)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91D1C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25/540 (4.6%)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EF7F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33/942 (3.5%)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8A3D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6AC7" w:rsidRPr="00C46AC7" w14:paraId="2810BF6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07E47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Age &lt; 50 years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935E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609/1134 (53.7%)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56673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239/532 (55.1%)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8F14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374/933 (40.1%)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9AC8A9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724E2E3B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B61B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Identify as underrepresented </w:t>
            </w:r>
            <w:proofErr w:type="gramStart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 the basis of</w:t>
            </w:r>
            <w:proofErr w:type="gramEnd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race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2E6C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112/1070 (10.5%)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5CD1AC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70/506 (13.8%)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B84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83/869 (9.6%)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135FC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0.505</w:t>
            </w:r>
          </w:p>
        </w:tc>
      </w:tr>
      <w:tr w:rsidR="00C46AC7" w:rsidRPr="00C46AC7" w14:paraId="1543A31B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7E93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Identify as underrepresented </w:t>
            </w:r>
            <w:proofErr w:type="gramStart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 the basis of</w:t>
            </w:r>
            <w:proofErr w:type="gramEnd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religion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4B207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48/1070 (4.5%)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FEB49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20/506 (4%)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232F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43/869 (5%)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49CCD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0.632</w:t>
            </w:r>
          </w:p>
        </w:tc>
      </w:tr>
      <w:tr w:rsidR="00C46AC7" w:rsidRPr="00C46AC7" w14:paraId="765746AB" w14:textId="77777777" w:rsidTr="00C46AC7">
        <w:trPr>
          <w:trHeight w:val="58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4FE3A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Identify as underrepresented </w:t>
            </w:r>
            <w:proofErr w:type="gramStart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 the basis of</w:t>
            </w:r>
            <w:proofErr w:type="gramEnd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LGBTQIA+ status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9D27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33/1070 (3.1%)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7CA99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20/506 (4%)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3488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33/869 (3.8%)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81EC6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0.389</w:t>
            </w:r>
          </w:p>
        </w:tc>
      </w:tr>
      <w:tr w:rsidR="00C46AC7" w:rsidRPr="00C46AC7" w14:paraId="024649E8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EF5C0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Identify as underrepresented </w:t>
            </w:r>
            <w:proofErr w:type="gramStart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 the basis of</w:t>
            </w:r>
            <w:proofErr w:type="gramEnd"/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ESL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6825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57/1070 (5.3%)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A246C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31/506 (6.1%)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2029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46/869 (5.3%)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AAC4A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0.974</w:t>
            </w:r>
          </w:p>
        </w:tc>
      </w:tr>
      <w:tr w:rsidR="00C46AC7" w:rsidRPr="00C46AC7" w14:paraId="4E4E358A" w14:textId="77777777" w:rsidTr="00C46AC7">
        <w:trPr>
          <w:trHeight w:val="560"/>
          <w:jc w:val="center"/>
        </w:trPr>
        <w:tc>
          <w:tcPr>
            <w:tcW w:w="56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DEE98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High Risk for Burnout (emotional exhaustion and/or depersonalization)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2898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651 (55.7%)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AD24DD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415 (74.2%)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FD5E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761 (78.5%)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E3B2C7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2ADC8E61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C048" w14:textId="77777777" w:rsidR="00C46AC7" w:rsidRPr="00C46AC7" w:rsidRDefault="00C46AC7" w:rsidP="00C46AC7">
            <w:pPr>
              <w:ind w:firstLineChars="100" w:firstLine="204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Emotional Exhaustion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5922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575 (49.2%)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59321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386 (69.1%)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58F1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732 (75.5%)</w:t>
            </w:r>
          </w:p>
        </w:tc>
        <w:tc>
          <w:tcPr>
            <w:tcW w:w="2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7AFA2F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02FD5B6E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E6A5" w14:textId="77777777" w:rsidR="00C46AC7" w:rsidRPr="00C46AC7" w:rsidRDefault="00C46AC7" w:rsidP="00C46AC7">
            <w:pPr>
              <w:ind w:firstLineChars="100" w:firstLine="204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Depersonalization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325C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402 (34.4%)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FC2079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271 (48.5%)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6A73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493 (50.8%)</w:t>
            </w:r>
          </w:p>
        </w:tc>
        <w:tc>
          <w:tcPr>
            <w:tcW w:w="2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F89F1F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41AF7F51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94568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Low personal accomplishment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87456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286 (24.5%)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F3D1A5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200 (35.8%)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8EF0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348 (35.9%)</w:t>
            </w:r>
          </w:p>
        </w:tc>
        <w:tc>
          <w:tcPr>
            <w:tcW w:w="2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7E91E2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1A1B2D0F" w14:textId="77777777" w:rsidTr="00C46AC7">
        <w:trPr>
          <w:trHeight w:val="560"/>
          <w:jc w:val="center"/>
        </w:trPr>
        <w:tc>
          <w:tcPr>
            <w:tcW w:w="56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415C7" w14:textId="77777777" w:rsidR="00C46AC7" w:rsidRPr="00C46AC7" w:rsidRDefault="00C46AC7" w:rsidP="00C46AC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Burnout syndrome (emotional exhaustion, depersonalization, and low personal accomplishment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347C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156 (13.3%)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4E2D93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118 (21.1%)</w:t>
            </w:r>
          </w:p>
        </w:tc>
        <w:tc>
          <w:tcPr>
            <w:tcW w:w="23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7208B" w14:textId="77777777" w:rsidR="00C46AC7" w:rsidRPr="00C46AC7" w:rsidRDefault="00C46AC7" w:rsidP="00C46A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236 (24.3%)</w:t>
            </w:r>
          </w:p>
        </w:tc>
        <w:tc>
          <w:tcPr>
            <w:tcW w:w="23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E83A8D" w14:textId="77777777" w:rsidR="00C46AC7" w:rsidRPr="00C46AC7" w:rsidRDefault="00C46AC7" w:rsidP="00C46A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&lt;0.001*</w:t>
            </w:r>
          </w:p>
        </w:tc>
      </w:tr>
      <w:tr w:rsidR="00C46AC7" w:rsidRPr="00C46AC7" w14:paraId="0AF2A353" w14:textId="77777777" w:rsidTr="00C46AC7">
        <w:trPr>
          <w:trHeight w:val="300"/>
          <w:jc w:val="center"/>
        </w:trPr>
        <w:tc>
          <w:tcPr>
            <w:tcW w:w="10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944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Continuous data are presented as median (interquartile range) and categorical data are presented as n (%).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3DC0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C37E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C7" w:rsidRPr="00C46AC7" w14:paraId="08069082" w14:textId="77777777" w:rsidTr="00C46AC7">
        <w:trPr>
          <w:trHeight w:val="300"/>
          <w:jc w:val="center"/>
        </w:trPr>
        <w:tc>
          <w:tcPr>
            <w:tcW w:w="1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6605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The Wilcoxon rank sum test and Chi-square test were used to compare the two groups on continuous and categorical variables, respectively.</w:t>
            </w:r>
          </w:p>
        </w:tc>
      </w:tr>
      <w:tr w:rsidR="00C46AC7" w:rsidRPr="00C46AC7" w14:paraId="46EDF7ED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71A9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*Statistically significant.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791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F33A" w14:textId="77777777" w:rsidR="00C46AC7" w:rsidRPr="00C46AC7" w:rsidRDefault="00C46AC7" w:rsidP="00C46A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D1D5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C972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C7" w:rsidRPr="00C46AC7" w14:paraId="27C79F99" w14:textId="77777777" w:rsidTr="00C46AC7">
        <w:trPr>
          <w:trHeight w:val="300"/>
          <w:jc w:val="center"/>
        </w:trPr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0CF3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LGBTQIA+, Lesbian, gay, bisexual, queer/questioning, intersex, and asexual status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958D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22CF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17D8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C7" w:rsidRPr="00C46AC7" w14:paraId="0D0E8082" w14:textId="77777777" w:rsidTr="00C46AC7">
        <w:trPr>
          <w:trHeight w:val="300"/>
          <w:jc w:val="center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7A2A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6AC7">
              <w:rPr>
                <w:rFonts w:eastAsia="Times New Roman"/>
                <w:color w:val="000000"/>
                <w:sz w:val="20"/>
                <w:szCs w:val="20"/>
              </w:rPr>
              <w:t>ESL, English as a second language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5EF9" w14:textId="77777777" w:rsidR="00C46AC7" w:rsidRPr="00C46AC7" w:rsidRDefault="00C46AC7" w:rsidP="00C46A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3566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3B6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143" w14:textId="77777777" w:rsidR="00C46AC7" w:rsidRPr="00C46AC7" w:rsidRDefault="00C46AC7" w:rsidP="00C46A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309C16" w14:textId="77777777" w:rsidR="00C46AC7" w:rsidRPr="00C46AC7" w:rsidRDefault="00C46AC7">
      <w:pPr>
        <w:rPr>
          <w:sz w:val="24"/>
          <w:szCs w:val="24"/>
        </w:rPr>
      </w:pPr>
    </w:p>
    <w:sectPr w:rsidR="00C46AC7" w:rsidRPr="00C46AC7" w:rsidSect="00C46A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7"/>
    <w:rsid w:val="00016195"/>
    <w:rsid w:val="00030275"/>
    <w:rsid w:val="00041FE0"/>
    <w:rsid w:val="00050811"/>
    <w:rsid w:val="0005799A"/>
    <w:rsid w:val="00057CC6"/>
    <w:rsid w:val="00060E8A"/>
    <w:rsid w:val="000714F0"/>
    <w:rsid w:val="000A04F7"/>
    <w:rsid w:val="000A2C66"/>
    <w:rsid w:val="000A440D"/>
    <w:rsid w:val="000A7C42"/>
    <w:rsid w:val="000B0AAB"/>
    <w:rsid w:val="000B2D73"/>
    <w:rsid w:val="000C665F"/>
    <w:rsid w:val="000C6AE4"/>
    <w:rsid w:val="000D0DC2"/>
    <w:rsid w:val="000D765C"/>
    <w:rsid w:val="000E0BF6"/>
    <w:rsid w:val="000F44E9"/>
    <w:rsid w:val="000F45AF"/>
    <w:rsid w:val="000F67A5"/>
    <w:rsid w:val="0010428E"/>
    <w:rsid w:val="00105868"/>
    <w:rsid w:val="00114A21"/>
    <w:rsid w:val="00124884"/>
    <w:rsid w:val="0013146A"/>
    <w:rsid w:val="00140A7E"/>
    <w:rsid w:val="00156BD6"/>
    <w:rsid w:val="001578DB"/>
    <w:rsid w:val="00163048"/>
    <w:rsid w:val="00172A5A"/>
    <w:rsid w:val="00186B9E"/>
    <w:rsid w:val="00187987"/>
    <w:rsid w:val="001953D1"/>
    <w:rsid w:val="001A5D40"/>
    <w:rsid w:val="001A60E5"/>
    <w:rsid w:val="001D2B67"/>
    <w:rsid w:val="001E11DC"/>
    <w:rsid w:val="001E78EB"/>
    <w:rsid w:val="00203331"/>
    <w:rsid w:val="00213847"/>
    <w:rsid w:val="00217164"/>
    <w:rsid w:val="00217A5B"/>
    <w:rsid w:val="002202BC"/>
    <w:rsid w:val="0023275F"/>
    <w:rsid w:val="00235354"/>
    <w:rsid w:val="00243153"/>
    <w:rsid w:val="00257F59"/>
    <w:rsid w:val="00271EE7"/>
    <w:rsid w:val="00272D1E"/>
    <w:rsid w:val="002758DB"/>
    <w:rsid w:val="00280BED"/>
    <w:rsid w:val="00282DEC"/>
    <w:rsid w:val="002B0A9C"/>
    <w:rsid w:val="002B36C0"/>
    <w:rsid w:val="002B3A8D"/>
    <w:rsid w:val="002C6C79"/>
    <w:rsid w:val="002D6156"/>
    <w:rsid w:val="002E6461"/>
    <w:rsid w:val="002F0D92"/>
    <w:rsid w:val="0030407B"/>
    <w:rsid w:val="003040E3"/>
    <w:rsid w:val="00310D20"/>
    <w:rsid w:val="00320492"/>
    <w:rsid w:val="0033524A"/>
    <w:rsid w:val="003424E4"/>
    <w:rsid w:val="00362E40"/>
    <w:rsid w:val="00366FEA"/>
    <w:rsid w:val="003946E9"/>
    <w:rsid w:val="003A7272"/>
    <w:rsid w:val="003B36A5"/>
    <w:rsid w:val="003B3BA3"/>
    <w:rsid w:val="003C7340"/>
    <w:rsid w:val="003D1348"/>
    <w:rsid w:val="003E6F55"/>
    <w:rsid w:val="003F1C5B"/>
    <w:rsid w:val="003F6B94"/>
    <w:rsid w:val="00400805"/>
    <w:rsid w:val="004054F5"/>
    <w:rsid w:val="004330FE"/>
    <w:rsid w:val="00433DCC"/>
    <w:rsid w:val="00444BBB"/>
    <w:rsid w:val="00444E09"/>
    <w:rsid w:val="00447C07"/>
    <w:rsid w:val="00450D8F"/>
    <w:rsid w:val="0046028F"/>
    <w:rsid w:val="004635B6"/>
    <w:rsid w:val="00467E0D"/>
    <w:rsid w:val="004741CD"/>
    <w:rsid w:val="00477B70"/>
    <w:rsid w:val="00484545"/>
    <w:rsid w:val="004856E6"/>
    <w:rsid w:val="0048718C"/>
    <w:rsid w:val="004A0718"/>
    <w:rsid w:val="004A26E9"/>
    <w:rsid w:val="004A7485"/>
    <w:rsid w:val="004F092A"/>
    <w:rsid w:val="00505E40"/>
    <w:rsid w:val="0050706D"/>
    <w:rsid w:val="00510F9F"/>
    <w:rsid w:val="00531CD3"/>
    <w:rsid w:val="00532A13"/>
    <w:rsid w:val="00545B68"/>
    <w:rsid w:val="005607BD"/>
    <w:rsid w:val="005676BB"/>
    <w:rsid w:val="00570B24"/>
    <w:rsid w:val="00573945"/>
    <w:rsid w:val="00590E15"/>
    <w:rsid w:val="00594674"/>
    <w:rsid w:val="005A0CFF"/>
    <w:rsid w:val="005A2D04"/>
    <w:rsid w:val="005F4B0B"/>
    <w:rsid w:val="006001E9"/>
    <w:rsid w:val="00600DF2"/>
    <w:rsid w:val="00614AB3"/>
    <w:rsid w:val="00625F5C"/>
    <w:rsid w:val="00645BA9"/>
    <w:rsid w:val="00651827"/>
    <w:rsid w:val="00651FC0"/>
    <w:rsid w:val="00655788"/>
    <w:rsid w:val="0067470D"/>
    <w:rsid w:val="006B1BFC"/>
    <w:rsid w:val="006B3DAA"/>
    <w:rsid w:val="006B4317"/>
    <w:rsid w:val="006B6E79"/>
    <w:rsid w:val="006D6E8E"/>
    <w:rsid w:val="006E05DF"/>
    <w:rsid w:val="006E31EB"/>
    <w:rsid w:val="006F195B"/>
    <w:rsid w:val="006F4530"/>
    <w:rsid w:val="007013BA"/>
    <w:rsid w:val="007065C4"/>
    <w:rsid w:val="007212EE"/>
    <w:rsid w:val="00724601"/>
    <w:rsid w:val="0074540F"/>
    <w:rsid w:val="007607ED"/>
    <w:rsid w:val="00760D45"/>
    <w:rsid w:val="00764289"/>
    <w:rsid w:val="00771174"/>
    <w:rsid w:val="00777029"/>
    <w:rsid w:val="00780618"/>
    <w:rsid w:val="00792421"/>
    <w:rsid w:val="007939C1"/>
    <w:rsid w:val="007A090A"/>
    <w:rsid w:val="007B1364"/>
    <w:rsid w:val="007C3CC6"/>
    <w:rsid w:val="007C6AFC"/>
    <w:rsid w:val="007D7EC0"/>
    <w:rsid w:val="007F1F9B"/>
    <w:rsid w:val="007F4283"/>
    <w:rsid w:val="008019BA"/>
    <w:rsid w:val="00813807"/>
    <w:rsid w:val="00816320"/>
    <w:rsid w:val="00817E47"/>
    <w:rsid w:val="00820407"/>
    <w:rsid w:val="008204BD"/>
    <w:rsid w:val="00825DEC"/>
    <w:rsid w:val="00832161"/>
    <w:rsid w:val="00860CBF"/>
    <w:rsid w:val="00882949"/>
    <w:rsid w:val="00893458"/>
    <w:rsid w:val="008B0FAE"/>
    <w:rsid w:val="008C3ABC"/>
    <w:rsid w:val="008C728F"/>
    <w:rsid w:val="008F341A"/>
    <w:rsid w:val="008F55E7"/>
    <w:rsid w:val="009033EA"/>
    <w:rsid w:val="00903F71"/>
    <w:rsid w:val="009326E7"/>
    <w:rsid w:val="0094700F"/>
    <w:rsid w:val="0094751C"/>
    <w:rsid w:val="009735B3"/>
    <w:rsid w:val="00974A1A"/>
    <w:rsid w:val="00977CE9"/>
    <w:rsid w:val="0098042D"/>
    <w:rsid w:val="0099070E"/>
    <w:rsid w:val="00997A11"/>
    <w:rsid w:val="009B7F56"/>
    <w:rsid w:val="009C358D"/>
    <w:rsid w:val="009C553C"/>
    <w:rsid w:val="009E37F7"/>
    <w:rsid w:val="009E5A5C"/>
    <w:rsid w:val="009F4F5C"/>
    <w:rsid w:val="009F6C4C"/>
    <w:rsid w:val="00A24A3B"/>
    <w:rsid w:val="00A752AF"/>
    <w:rsid w:val="00A76DC4"/>
    <w:rsid w:val="00A847DF"/>
    <w:rsid w:val="00A95FEE"/>
    <w:rsid w:val="00A97EE6"/>
    <w:rsid w:val="00AB03FC"/>
    <w:rsid w:val="00AB2A0F"/>
    <w:rsid w:val="00AB51CF"/>
    <w:rsid w:val="00AB5328"/>
    <w:rsid w:val="00AB6FCE"/>
    <w:rsid w:val="00AC7259"/>
    <w:rsid w:val="00AC7D0B"/>
    <w:rsid w:val="00AD4EBE"/>
    <w:rsid w:val="00AE67E4"/>
    <w:rsid w:val="00B11922"/>
    <w:rsid w:val="00B34316"/>
    <w:rsid w:val="00B54022"/>
    <w:rsid w:val="00B62E08"/>
    <w:rsid w:val="00B82D76"/>
    <w:rsid w:val="00B86491"/>
    <w:rsid w:val="00BA27CB"/>
    <w:rsid w:val="00BA5281"/>
    <w:rsid w:val="00BB238A"/>
    <w:rsid w:val="00BC2C97"/>
    <w:rsid w:val="00BC63B5"/>
    <w:rsid w:val="00BD7EC5"/>
    <w:rsid w:val="00C061FB"/>
    <w:rsid w:val="00C06B4A"/>
    <w:rsid w:val="00C13386"/>
    <w:rsid w:val="00C160E8"/>
    <w:rsid w:val="00C2660C"/>
    <w:rsid w:val="00C332E2"/>
    <w:rsid w:val="00C359BD"/>
    <w:rsid w:val="00C4427E"/>
    <w:rsid w:val="00C46AC7"/>
    <w:rsid w:val="00C80F8F"/>
    <w:rsid w:val="00C81471"/>
    <w:rsid w:val="00C86DF9"/>
    <w:rsid w:val="00C94AB3"/>
    <w:rsid w:val="00CA50B8"/>
    <w:rsid w:val="00CC237A"/>
    <w:rsid w:val="00CD3CAE"/>
    <w:rsid w:val="00CE5CD0"/>
    <w:rsid w:val="00CF5242"/>
    <w:rsid w:val="00D109D8"/>
    <w:rsid w:val="00D2054A"/>
    <w:rsid w:val="00D32382"/>
    <w:rsid w:val="00D35136"/>
    <w:rsid w:val="00D44F13"/>
    <w:rsid w:val="00D4679A"/>
    <w:rsid w:val="00D62191"/>
    <w:rsid w:val="00D62BBD"/>
    <w:rsid w:val="00D716BA"/>
    <w:rsid w:val="00D778F8"/>
    <w:rsid w:val="00D80A80"/>
    <w:rsid w:val="00DB665A"/>
    <w:rsid w:val="00DC335D"/>
    <w:rsid w:val="00DD644C"/>
    <w:rsid w:val="00E16E42"/>
    <w:rsid w:val="00E25AE0"/>
    <w:rsid w:val="00E32BDD"/>
    <w:rsid w:val="00E373CA"/>
    <w:rsid w:val="00E51669"/>
    <w:rsid w:val="00E54572"/>
    <w:rsid w:val="00E8032C"/>
    <w:rsid w:val="00E96BA2"/>
    <w:rsid w:val="00EE5D65"/>
    <w:rsid w:val="00EE7958"/>
    <w:rsid w:val="00F06DA5"/>
    <w:rsid w:val="00F1486D"/>
    <w:rsid w:val="00F24AD3"/>
    <w:rsid w:val="00F34EA8"/>
    <w:rsid w:val="00F42CDA"/>
    <w:rsid w:val="00F65205"/>
    <w:rsid w:val="00F75CB9"/>
    <w:rsid w:val="00F7735C"/>
    <w:rsid w:val="00F9423E"/>
    <w:rsid w:val="00FC526C"/>
    <w:rsid w:val="00FD63BE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777A6"/>
  <w15:chartTrackingRefBased/>
  <w15:docId w15:val="{4AD3BBB4-98EF-2347-B622-42EB85E5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E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C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ADB82C-7D9A-E54C-8E08-F78220A7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Cadwell</dc:creator>
  <cp:keywords/>
  <dc:description/>
  <cp:lastModifiedBy>Amy Vinson</cp:lastModifiedBy>
  <cp:revision>3</cp:revision>
  <dcterms:created xsi:type="dcterms:W3CDTF">2023-09-06T17:02:00Z</dcterms:created>
  <dcterms:modified xsi:type="dcterms:W3CDTF">2023-09-06T17:02:00Z</dcterms:modified>
</cp:coreProperties>
</file>