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8DFB" w14:textId="0C1D980D" w:rsidR="00A938FD" w:rsidRPr="00E065CB" w:rsidRDefault="00EF6D32" w:rsidP="00C076B1">
      <w:pPr>
        <w:tabs>
          <w:tab w:val="num" w:pos="720"/>
        </w:tabs>
        <w:spacing w:line="480" w:lineRule="auto"/>
        <w:jc w:val="both"/>
        <w:rPr>
          <w:rFonts w:ascii="Arial" w:hAnsi="Arial" w:cs="Arial"/>
          <w:b/>
          <w:noProof/>
        </w:rPr>
      </w:pPr>
      <w:bookmarkStart w:id="0" w:name="_Hlk125641551"/>
      <w:bookmarkEnd w:id="0"/>
      <w:r w:rsidRPr="00E065CB">
        <w:rPr>
          <w:rFonts w:ascii="Arial" w:hAnsi="Arial" w:cs="Arial"/>
          <w:b/>
          <w:noProof/>
        </w:rPr>
        <w:t>Supplementary Materials &amp; Methods</w:t>
      </w:r>
    </w:p>
    <w:p w14:paraId="325A534A" w14:textId="77777777" w:rsidR="00A938FD" w:rsidRPr="00E065CB" w:rsidRDefault="00A938FD" w:rsidP="00A938FD">
      <w:pPr>
        <w:spacing w:line="360" w:lineRule="auto"/>
        <w:jc w:val="both"/>
        <w:rPr>
          <w:rFonts w:ascii="Arial" w:hAnsi="Arial" w:cs="Arial"/>
          <w:b/>
        </w:rPr>
      </w:pPr>
      <w:r w:rsidRPr="00E065CB">
        <w:rPr>
          <w:rFonts w:ascii="Arial" w:hAnsi="Arial" w:cs="Arial"/>
          <w:b/>
        </w:rPr>
        <w:t xml:space="preserve">Human liver samples </w:t>
      </w:r>
    </w:p>
    <w:p w14:paraId="73BE1A9A" w14:textId="37D4FDBD" w:rsidR="00EF6D32" w:rsidRPr="00E065CB" w:rsidRDefault="00A938FD" w:rsidP="00A938FD">
      <w:pPr>
        <w:spacing w:line="360" w:lineRule="auto"/>
        <w:jc w:val="both"/>
        <w:rPr>
          <w:rFonts w:ascii="Arial" w:eastAsia="LegacySerifStd-Book" w:hAnsi="Arial" w:cs="Arial"/>
        </w:rPr>
      </w:pPr>
      <w:r w:rsidRPr="00E065CB">
        <w:rPr>
          <w:rFonts w:ascii="Arial" w:eastAsia="LegacySerifStd-Book" w:hAnsi="Arial" w:cs="Arial"/>
        </w:rPr>
        <w:t>The DUHS NAFLD Clinical Database and Biorepository is approved by the DUHS Institutional Review Board (Pro00005368). The DUHS NAFLD Clinical Database and Biorepository contains clinical data and biospecimens from NAFLD patients who have undergone a diagnostic liver biopsy (following a 12 hour fast) to grade and stage the severity of presumed NAFLD as part of standard of care. All liver biopsy specimens were stained with hematoxylin-eosin and Masson’s trichrome, and graded and staged by an experienced hepatic pathologist (CDG) to generate a Nonalcoholic Fatty Liver Disease Activity Score (NAS) and fibrosis stage according to the published NASH Clinical Research Network scoring system</w:t>
      </w:r>
      <w:r w:rsidR="00A4675B" w:rsidRPr="00E065CB">
        <w:rPr>
          <w:rFonts w:ascii="Arial" w:eastAsia="LegacySerifStd-Book" w:hAnsi="Arial" w:cs="Arial"/>
        </w:rPr>
        <w:t xml:space="preserve"> </w:t>
      </w:r>
      <w:r w:rsidR="00A4675B" w:rsidRPr="00E065CB">
        <w:rPr>
          <w:rFonts w:ascii="Arial" w:eastAsia="LegacySerifStd-Book" w:hAnsi="Arial" w:cs="Arial"/>
        </w:rPr>
        <w:fldChar w:fldCharType="begin">
          <w:fldData xml:space="preserve">PEVuZE5vdGU+PENpdGU+PEF1dGhvcj5CcnVudDwvQXV0aG9yPjxZZWFyPjIwMTE8L1llYXI+PFJl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</w:fldData>
        </w:fldChar>
      </w:r>
      <w:r w:rsidR="00A4675B" w:rsidRPr="00E065CB">
        <w:rPr>
          <w:rFonts w:ascii="Arial" w:eastAsia="LegacySerifStd-Book" w:hAnsi="Arial" w:cs="Arial"/>
        </w:rPr>
        <w:instrText xml:space="preserve"> ADDIN EN.CITE </w:instrText>
      </w:r>
      <w:r w:rsidR="00A4675B" w:rsidRPr="00E065CB">
        <w:rPr>
          <w:rFonts w:ascii="Arial" w:eastAsia="LegacySerifStd-Book" w:hAnsi="Arial" w:cs="Arial"/>
        </w:rPr>
        <w:fldChar w:fldCharType="begin">
          <w:fldData xml:space="preserve">PEVuZE5vdGU+PENpdGU+PEF1dGhvcj5CcnVudDwvQXV0aG9yPjxZZWFyPjIwMTE8L1llYXI+PFJl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</w:fldData>
        </w:fldChar>
      </w:r>
      <w:r w:rsidR="00A4675B" w:rsidRPr="00E065CB">
        <w:rPr>
          <w:rFonts w:ascii="Arial" w:eastAsia="LegacySerifStd-Book" w:hAnsi="Arial" w:cs="Arial"/>
        </w:rPr>
        <w:instrText xml:space="preserve"> ADDIN EN.CITE.DATA </w:instrText>
      </w:r>
      <w:r w:rsidR="00A4675B" w:rsidRPr="00E065CB">
        <w:rPr>
          <w:rFonts w:ascii="Arial" w:eastAsia="LegacySerifStd-Book" w:hAnsi="Arial" w:cs="Arial"/>
        </w:rPr>
      </w:r>
      <w:r w:rsidR="00A4675B" w:rsidRPr="00E065CB">
        <w:rPr>
          <w:rFonts w:ascii="Arial" w:eastAsia="LegacySerifStd-Book" w:hAnsi="Arial" w:cs="Arial"/>
        </w:rPr>
        <w:fldChar w:fldCharType="end"/>
      </w:r>
      <w:r w:rsidR="00A4675B" w:rsidRPr="00E065CB">
        <w:rPr>
          <w:rFonts w:ascii="Arial" w:eastAsia="LegacySerifStd-Book" w:hAnsi="Arial" w:cs="Arial"/>
        </w:rPr>
      </w:r>
      <w:r w:rsidR="00A4675B" w:rsidRPr="00E065CB">
        <w:rPr>
          <w:rFonts w:ascii="Arial" w:eastAsia="LegacySerifStd-Book" w:hAnsi="Arial" w:cs="Arial"/>
        </w:rPr>
        <w:fldChar w:fldCharType="separate"/>
      </w:r>
      <w:r w:rsidR="00A4675B" w:rsidRPr="00E065CB">
        <w:rPr>
          <w:rFonts w:ascii="Arial" w:eastAsia="LegacySerifStd-Book" w:hAnsi="Arial" w:cs="Arial"/>
          <w:noProof/>
        </w:rPr>
        <w:t>(1)</w:t>
      </w:r>
      <w:r w:rsidR="00A4675B" w:rsidRPr="00E065CB">
        <w:rPr>
          <w:rFonts w:ascii="Arial" w:eastAsia="LegacySerifStd-Book" w:hAnsi="Arial" w:cs="Arial"/>
        </w:rPr>
        <w:fldChar w:fldCharType="end"/>
      </w:r>
      <w:r w:rsidRPr="00E065CB">
        <w:rPr>
          <w:rFonts w:ascii="Arial" w:eastAsia="LegacySerifStd-Book" w:hAnsi="Arial" w:cs="Arial"/>
        </w:rPr>
        <w:t>. Clinical data were obtained at the time of liver biopsy and included body mass index (BMI), age, gender, race, the presence of hypertension, diabetes mellitus (DM) and hyperlipidemia.</w:t>
      </w:r>
    </w:p>
    <w:p w14:paraId="0A273C8F" w14:textId="77777777" w:rsidR="00A938FD" w:rsidRPr="00E065CB" w:rsidRDefault="00A938FD" w:rsidP="00A938FD">
      <w:pPr>
        <w:spacing w:line="360" w:lineRule="auto"/>
        <w:jc w:val="both"/>
        <w:rPr>
          <w:rFonts w:ascii="Arial" w:eastAsia="LegacySerifStd-Book" w:hAnsi="Arial" w:cs="Arial"/>
        </w:rPr>
      </w:pPr>
    </w:p>
    <w:p w14:paraId="61D39841" w14:textId="77777777" w:rsidR="00EF6D32" w:rsidRPr="00E065CB" w:rsidRDefault="00EF6D32" w:rsidP="00626417">
      <w:pPr>
        <w:spacing w:line="360" w:lineRule="auto"/>
        <w:jc w:val="both"/>
        <w:rPr>
          <w:rFonts w:ascii="Arial" w:hAnsi="Arial" w:cs="Arial"/>
          <w:b/>
        </w:rPr>
      </w:pPr>
      <w:r w:rsidRPr="00E065CB">
        <w:rPr>
          <w:rFonts w:ascii="Arial" w:hAnsi="Arial" w:cs="Arial"/>
          <w:b/>
          <w:bCs/>
        </w:rPr>
        <w:t xml:space="preserve">Hepatocyte isolation and </w:t>
      </w:r>
      <w:r w:rsidRPr="00E065CB">
        <w:rPr>
          <w:rFonts w:ascii="Arial" w:hAnsi="Arial" w:cs="Arial"/>
          <w:b/>
          <w:i/>
          <w:iCs/>
        </w:rPr>
        <w:t>in vitro</w:t>
      </w:r>
      <w:r w:rsidRPr="00E065CB">
        <w:rPr>
          <w:rFonts w:ascii="Arial" w:hAnsi="Arial" w:cs="Arial"/>
          <w:b/>
        </w:rPr>
        <w:t xml:space="preserve"> Vorapaxar treatment</w:t>
      </w:r>
    </w:p>
    <w:p w14:paraId="0D84E137" w14:textId="45FD2E13" w:rsidR="00EF6D32" w:rsidRPr="00E065CB" w:rsidRDefault="00EF6D32" w:rsidP="00626417">
      <w:pPr>
        <w:spacing w:line="360" w:lineRule="auto"/>
        <w:jc w:val="both"/>
        <w:rPr>
          <w:rFonts w:ascii="Arial" w:hAnsi="Arial" w:cs="Arial"/>
        </w:rPr>
      </w:pPr>
      <w:r w:rsidRPr="00E065CB">
        <w:rPr>
          <w:rFonts w:ascii="Arial" w:hAnsi="Arial" w:cs="Arial"/>
        </w:rPr>
        <w:t>To obtain primary hepatocytes, livers from GFP, P16-overexpressing, Het and OB mice were perfused with collagenase.</w:t>
      </w:r>
      <w:r w:rsidR="00A4675B" w:rsidRPr="00E065CB">
        <w:rPr>
          <w:rFonts w:ascii="Arial" w:hAnsi="Arial" w:cs="Arial"/>
        </w:rPr>
        <w:t xml:space="preserve"> </w:t>
      </w:r>
      <w:r w:rsidRPr="00E065CB">
        <w:rPr>
          <w:rFonts w:ascii="Arial" w:hAnsi="Arial" w:cs="Arial"/>
        </w:rPr>
        <w:t>Hepatocyte preparations were evaluated by light microscopy to assure that viability and purity were at least 95%</w:t>
      </w:r>
      <w:r w:rsidR="00A4675B" w:rsidRPr="00E065CB">
        <w:rPr>
          <w:rFonts w:ascii="Arial" w:hAnsi="Arial" w:cs="Arial"/>
        </w:rPr>
        <w:t xml:space="preserve"> </w:t>
      </w:r>
      <w:r w:rsidR="00A4675B" w:rsidRPr="00E065CB">
        <w:rPr>
          <w:rFonts w:ascii="Arial" w:hAnsi="Arial" w:cs="Arial"/>
        </w:rPr>
        <w:fldChar w:fldCharType="begin"/>
      </w:r>
      <w:r w:rsidR="00A4675B" w:rsidRPr="00E065CB">
        <w:rPr>
          <w:rFonts w:ascii="Arial" w:hAnsi="Arial" w:cs="Arial"/>
        </w:rPr>
        <w:instrText xml:space="preserve"> ADDIN EN.CITE &lt;EndNote&gt;&lt;Cite&gt;&lt;Author&gt;Chen&lt;/Author&gt;&lt;Year&gt;2022&lt;/Year&gt;&lt;RecNum&gt;13&lt;/RecNum&gt;&lt;DisplayText&gt;(2)&lt;/DisplayText&gt;&lt;record&gt;&lt;rec-number&gt;13&lt;/rec-number&gt;&lt;foreign-keys&gt;&lt;key app="EN" db-id="a20twaexbx2zfyezz5rxdvdhf52zspwe0evz" timestamp="1674490306"&gt;13&lt;/key&gt;&lt;/foreign-keys&gt;&lt;ref-type name="Journal Article"&gt;17&lt;/ref-type&gt;&lt;contributors&gt;&lt;authors&gt;&lt;author&gt;Chen, T.&lt;/author&gt;&lt;author&gt;Dalton, G.&lt;/author&gt;&lt;author&gt;Oh, S. H.&lt;/author&gt;&lt;author&gt;Maeso-Diaz, R.&lt;/author&gt;&lt;author&gt;Du, K.&lt;/author&gt;&lt;author&gt;Meyers, R. A.&lt;/author&gt;&lt;author&gt;Guy, C.&lt;/author&gt;&lt;author&gt;Abdelmalek, M. F.&lt;/author&gt;&lt;author&gt;Henao, R.&lt;/author&gt;&lt;author&gt;Guarnieri, P.&lt;/author&gt;&lt;author&gt;Pullen, S.&lt;/author&gt;&lt;author&gt;Gregory, S.&lt;/author&gt;&lt;author&gt;Locker, J.&lt;/author&gt;&lt;author&gt;Brown, J. M.&lt;/author&gt;&lt;author&gt;Diehl, A. M.&lt;/author&gt;&lt;/authors&gt;&lt;/contributors&gt;&lt;auth-address&gt;Duke University, Durham, North Carolina.&amp;#xD;Boehringer Ingelheim Pharmaceuticals Inc, Ridgefield, Connecticut.&amp;#xD;Department of Pathology, University of Pittsburgh, Pittsburgh, Pennsylvania.&amp;#xD;Department of Cardiovascular and Metabolic Sciences, Cleveland Clinic Lerner Research Institute, Cleveland, Ohio.&amp;#xD;Duke University, Durham, North Carolina. Electronic address: annamae.diehl@duke.edu.&lt;/auth-address&gt;&lt;titles&gt;&lt;title&gt;Hepatocyte Smoothened Activity Controls Susceptibility to Insulin Resistance and Nonalcoholic Fatty Liver Disease&lt;/title&gt;&lt;secondary-title&gt;Cell Mol Gastroenterol Hepatol&lt;/secondary-title&gt;&lt;/titles&gt;&lt;periodical&gt;&lt;full-title&gt;Cell Mol Gastroenterol Hepatol&lt;/full-title&gt;&lt;/periodical&gt;&lt;edition&gt;20221216&lt;/edition&gt;&lt;keywords&gt;&lt;keyword&gt;***&lt;/keyword&gt;&lt;/keywords&gt;&lt;dates&gt;&lt;year&gt;2022&lt;/year&gt;&lt;pub-dates&gt;&lt;date&gt;Dec 16&lt;/date&gt;&lt;/pub-dates&gt;&lt;/dates&gt;&lt;isbn&gt;2352-345X (Electronic)&amp;#xD;2352-345X (Linking)&lt;/isbn&gt;&lt;accession-num&gt;36535507&lt;/accession-num&gt;&lt;urls&gt;&lt;related-urls&gt;&lt;url&gt;https://www.ncbi.nlm.nih.gov/pubmed/36535507&lt;/url&gt;&lt;/related-urls&gt;&lt;/urls&gt;&lt;electronic-resource-num&gt;10.1016/j.jcmgh.2022.12.008&lt;/electronic-resource-num&gt;&lt;remote-database-name&gt;Publisher&lt;/remote-database-name&gt;&lt;remote-database-provider&gt;NLM&lt;/remote-database-provider&gt;&lt;/record&gt;&lt;/Cite&gt;&lt;/EndNote&gt;</w:instrText>
      </w:r>
      <w:r w:rsidR="00A4675B" w:rsidRPr="00E065CB">
        <w:rPr>
          <w:rFonts w:ascii="Arial" w:hAnsi="Arial" w:cs="Arial"/>
        </w:rPr>
        <w:fldChar w:fldCharType="separate"/>
      </w:r>
      <w:r w:rsidR="00A4675B" w:rsidRPr="00E065CB">
        <w:rPr>
          <w:rFonts w:ascii="Arial" w:hAnsi="Arial" w:cs="Arial"/>
          <w:noProof/>
        </w:rPr>
        <w:t>(2)</w:t>
      </w:r>
      <w:r w:rsidR="00A4675B" w:rsidRPr="00E065CB">
        <w:rPr>
          <w:rFonts w:ascii="Arial" w:hAnsi="Arial" w:cs="Arial"/>
        </w:rPr>
        <w:fldChar w:fldCharType="end"/>
      </w:r>
      <w:r w:rsidRPr="00E065CB">
        <w:rPr>
          <w:rFonts w:ascii="Arial" w:hAnsi="Arial" w:cs="Arial"/>
        </w:rPr>
        <w:t>. Freshly isolated hepatocytes were immediately processed to obtain RNA and protein or seeded in collagen-treated 6-well-plates at a density of 600.000 cells/well in DMEM F12 (Gibco, 11330-032) supplemented with 5% FBS (Gemini Bioproducts, 900-108), 1% L-Glutamine (Gibco, 25030-081), 1% Penicillin-Streptomycin (Gibco, 15140-122) and 1:100 insulin-transferrin-selenium (</w:t>
      </w:r>
      <w:r w:rsidRPr="00E065CB">
        <w:rPr>
          <w:rFonts w:ascii="Arial" w:hAnsi="Arial" w:cs="Arial"/>
          <w:bCs/>
        </w:rPr>
        <w:t>Gibco, 41400-045)</w:t>
      </w:r>
      <w:r w:rsidRPr="00E065CB">
        <w:rPr>
          <w:rFonts w:ascii="Arial" w:hAnsi="Arial" w:cs="Arial"/>
        </w:rPr>
        <w:t xml:space="preserve">. Hepatocytes were washed twice with PBS (Gibco, 10010-023) 4 hours after seeding, and maintaining media (DMEM F12 supplemented with 2% FBS, 1% L-Glutamine, 1% Penicillin-Streptomycin, 1:100 insulin-transferrin-selenium and 40 ng/ml dexamethasone) containing vehicle or vorapaxar at 5, 10 and 20 </w:t>
      </w:r>
      <w:proofErr w:type="spellStart"/>
      <w:r w:rsidRPr="00E065CB">
        <w:rPr>
          <w:rFonts w:cstheme="minorHAnsi"/>
          <w:sz w:val="28"/>
          <w:szCs w:val="28"/>
        </w:rPr>
        <w:t>μ</w:t>
      </w:r>
      <w:r w:rsidRPr="00E065CB">
        <w:rPr>
          <w:rFonts w:ascii="Arial" w:hAnsi="Arial" w:cs="Arial"/>
        </w:rPr>
        <w:t>M</w:t>
      </w:r>
      <w:proofErr w:type="spellEnd"/>
      <w:r w:rsidRPr="00E065CB">
        <w:rPr>
          <w:rFonts w:ascii="Arial" w:hAnsi="Arial" w:cs="Arial"/>
        </w:rPr>
        <w:t xml:space="preserve"> was added. Hepatocytes were harvested to obtain protein 48h after the treatment.  Conditioned media was centrifuged and collected 24 hours after isolating the cells from GFP and P16 overexpressing hepatocytes.</w:t>
      </w:r>
    </w:p>
    <w:p w14:paraId="0E75BA35" w14:textId="77777777" w:rsidR="002C3824" w:rsidRPr="00E065CB" w:rsidRDefault="002C3824" w:rsidP="00626417">
      <w:pPr>
        <w:spacing w:line="360" w:lineRule="auto"/>
        <w:jc w:val="both"/>
        <w:rPr>
          <w:rFonts w:ascii="Arial" w:hAnsi="Arial" w:cs="Arial"/>
        </w:rPr>
      </w:pPr>
    </w:p>
    <w:p w14:paraId="3DC0A82A" w14:textId="77777777" w:rsidR="00EF6D32" w:rsidRPr="00E065CB" w:rsidRDefault="00EF6D32" w:rsidP="00626417">
      <w:pPr>
        <w:spacing w:line="360" w:lineRule="auto"/>
        <w:jc w:val="both"/>
        <w:rPr>
          <w:rFonts w:ascii="Arial" w:hAnsi="Arial" w:cs="Arial"/>
          <w:b/>
          <w:bCs/>
        </w:rPr>
      </w:pPr>
    </w:p>
    <w:p w14:paraId="23001B0B" w14:textId="77777777" w:rsidR="00EF6D32" w:rsidRPr="00E065CB" w:rsidRDefault="00EF6D32" w:rsidP="00626417">
      <w:pPr>
        <w:spacing w:line="360" w:lineRule="auto"/>
        <w:jc w:val="both"/>
        <w:rPr>
          <w:rFonts w:ascii="Arial" w:hAnsi="Arial" w:cs="Arial"/>
          <w:b/>
          <w:bCs/>
        </w:rPr>
      </w:pPr>
      <w:proofErr w:type="spellStart"/>
      <w:r w:rsidRPr="00E065CB">
        <w:rPr>
          <w:rFonts w:ascii="Arial" w:hAnsi="Arial" w:cs="Arial"/>
          <w:b/>
          <w:bCs/>
        </w:rPr>
        <w:lastRenderedPageBreak/>
        <w:t>Gli</w:t>
      </w:r>
      <w:proofErr w:type="spellEnd"/>
      <w:r w:rsidRPr="00E065CB">
        <w:rPr>
          <w:rFonts w:ascii="Arial" w:hAnsi="Arial" w:cs="Arial"/>
          <w:b/>
          <w:bCs/>
        </w:rPr>
        <w:t>-Luciferase Reporter Assay</w:t>
      </w:r>
    </w:p>
    <w:p w14:paraId="561A28EC" w14:textId="097FD19A" w:rsidR="00EF6D32" w:rsidRPr="00E065CB" w:rsidRDefault="00EF6D32" w:rsidP="00626417">
      <w:pPr>
        <w:spacing w:line="360" w:lineRule="auto"/>
        <w:jc w:val="both"/>
        <w:rPr>
          <w:rFonts w:ascii="Arial" w:hAnsi="Arial" w:cs="Arial"/>
        </w:rPr>
      </w:pPr>
      <w:r w:rsidRPr="00E065CB">
        <w:rPr>
          <w:rFonts w:ascii="Arial" w:hAnsi="Arial" w:cs="Arial"/>
        </w:rPr>
        <w:t xml:space="preserve">Shh-LIGHT2 cells are NIH-3T3 cells stably transfected with a </w:t>
      </w:r>
      <w:proofErr w:type="spellStart"/>
      <w:r w:rsidRPr="00E065CB">
        <w:rPr>
          <w:rFonts w:ascii="Arial" w:hAnsi="Arial" w:cs="Arial"/>
        </w:rPr>
        <w:t>Gli</w:t>
      </w:r>
      <w:proofErr w:type="spellEnd"/>
      <w:r w:rsidRPr="00E065CB">
        <w:rPr>
          <w:rFonts w:ascii="Arial" w:hAnsi="Arial" w:cs="Arial"/>
        </w:rPr>
        <w:t xml:space="preserve">-responsive firefly luciferase reporter and a constitutively expressed </w:t>
      </w:r>
      <w:proofErr w:type="spellStart"/>
      <w:r w:rsidRPr="00E065CB">
        <w:rPr>
          <w:rFonts w:ascii="Arial" w:hAnsi="Arial" w:cs="Arial"/>
        </w:rPr>
        <w:t>Renilla</w:t>
      </w:r>
      <w:proofErr w:type="spellEnd"/>
      <w:r w:rsidRPr="00E065CB">
        <w:rPr>
          <w:rFonts w:ascii="Arial" w:hAnsi="Arial" w:cs="Arial"/>
        </w:rPr>
        <w:t xml:space="preserve"> luciferase that responds to the presence of hedgehog protein light-generating enzyme and can be measured with a luminometer</w:t>
      </w:r>
      <w:r w:rsidR="00A4675B" w:rsidRPr="00E065CB">
        <w:rPr>
          <w:rFonts w:ascii="Arial" w:hAnsi="Arial" w:cs="Arial"/>
        </w:rPr>
        <w:t xml:space="preserve"> </w:t>
      </w:r>
      <w:r w:rsidR="00A4675B" w:rsidRPr="00E065CB">
        <w:rPr>
          <w:rFonts w:ascii="Arial" w:hAnsi="Arial" w:cs="Arial"/>
        </w:rPr>
        <w:fldChar w:fldCharType="begin">
          <w:fldData xml:space="preserve">PEVuZE5vdGU+PENpdGU+PEF1dGhvcj5XYW5nPC9BdXRob3I+PFllYXI+MjAxMjwvWWVhcj48UmVj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</w:fldData>
        </w:fldChar>
      </w:r>
      <w:r w:rsidR="00A4675B" w:rsidRPr="00E065CB">
        <w:rPr>
          <w:rFonts w:ascii="Arial" w:hAnsi="Arial" w:cs="Arial"/>
        </w:rPr>
        <w:instrText xml:space="preserve"> ADDIN EN.CITE </w:instrText>
      </w:r>
      <w:r w:rsidR="00A4675B" w:rsidRPr="00E065CB">
        <w:rPr>
          <w:rFonts w:ascii="Arial" w:hAnsi="Arial" w:cs="Arial"/>
        </w:rPr>
        <w:fldChar w:fldCharType="begin">
          <w:fldData xml:space="preserve">PEVuZE5vdGU+PENpdGU+PEF1dGhvcj5XYW5nPC9BdXRob3I+PFllYXI+MjAxMjwvWWVhcj48UmVj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</w:fldData>
        </w:fldChar>
      </w:r>
      <w:r w:rsidR="00A4675B" w:rsidRPr="00E065CB">
        <w:rPr>
          <w:rFonts w:ascii="Arial" w:hAnsi="Arial" w:cs="Arial"/>
        </w:rPr>
        <w:instrText xml:space="preserve"> ADDIN EN.CITE.DATA </w:instrText>
      </w:r>
      <w:r w:rsidR="00A4675B" w:rsidRPr="00E065CB">
        <w:rPr>
          <w:rFonts w:ascii="Arial" w:hAnsi="Arial" w:cs="Arial"/>
        </w:rPr>
      </w:r>
      <w:r w:rsidR="00A4675B" w:rsidRPr="00E065CB">
        <w:rPr>
          <w:rFonts w:ascii="Arial" w:hAnsi="Arial" w:cs="Arial"/>
        </w:rPr>
        <w:fldChar w:fldCharType="end"/>
      </w:r>
      <w:r w:rsidR="00A4675B" w:rsidRPr="00E065CB">
        <w:rPr>
          <w:rFonts w:ascii="Arial" w:hAnsi="Arial" w:cs="Arial"/>
        </w:rPr>
      </w:r>
      <w:r w:rsidR="00A4675B" w:rsidRPr="00E065CB">
        <w:rPr>
          <w:rFonts w:ascii="Arial" w:hAnsi="Arial" w:cs="Arial"/>
        </w:rPr>
        <w:fldChar w:fldCharType="separate"/>
      </w:r>
      <w:r w:rsidR="00A4675B" w:rsidRPr="00E065CB">
        <w:rPr>
          <w:rFonts w:ascii="Arial" w:hAnsi="Arial" w:cs="Arial"/>
          <w:noProof/>
        </w:rPr>
        <w:t>(3)</w:t>
      </w:r>
      <w:r w:rsidR="00A4675B" w:rsidRPr="00E065CB">
        <w:rPr>
          <w:rFonts w:ascii="Arial" w:hAnsi="Arial" w:cs="Arial"/>
        </w:rPr>
        <w:fldChar w:fldCharType="end"/>
      </w:r>
      <w:r w:rsidRPr="00E065CB">
        <w:rPr>
          <w:rFonts w:ascii="Arial" w:hAnsi="Arial" w:cs="Arial"/>
        </w:rPr>
        <w:t>.</w:t>
      </w:r>
      <w:r w:rsidR="00626417" w:rsidRPr="00E065CB">
        <w:rPr>
          <w:rFonts w:ascii="Arial" w:hAnsi="Arial" w:cs="Arial"/>
        </w:rPr>
        <w:t xml:space="preserve">  C</w:t>
      </w:r>
      <w:r w:rsidRPr="00E065CB">
        <w:rPr>
          <w:rFonts w:ascii="Arial" w:hAnsi="Arial" w:cs="Arial"/>
        </w:rPr>
        <w:t>ells were cultured in 96 well-plates at a confluence of 10.000 cells/well in DMEM high glucose (Sigma-Millipore, D6429) supplemented with 10% Bovine Calf Serum (</w:t>
      </w:r>
      <w:proofErr w:type="spellStart"/>
      <w:r w:rsidRPr="00E065CB">
        <w:rPr>
          <w:rFonts w:ascii="Arial" w:hAnsi="Arial" w:cs="Arial"/>
        </w:rPr>
        <w:t>Cytiva</w:t>
      </w:r>
      <w:proofErr w:type="spellEnd"/>
      <w:r w:rsidRPr="00E065CB">
        <w:rPr>
          <w:rFonts w:ascii="Arial" w:hAnsi="Arial" w:cs="Arial"/>
        </w:rPr>
        <w:t xml:space="preserve">, SH30072.03), 0.4 mg/ml G418 (Gibco, 10131) and 0.15 mg/ml Zeocin (Invitrogen R25001). 48h after seeding, </w:t>
      </w:r>
      <w:r w:rsidR="00626417" w:rsidRPr="00E065CB">
        <w:rPr>
          <w:rFonts w:ascii="Arial" w:hAnsi="Arial" w:cs="Arial"/>
        </w:rPr>
        <w:t xml:space="preserve">cells were washed </w:t>
      </w:r>
      <w:r w:rsidRPr="00E065CB">
        <w:rPr>
          <w:rFonts w:ascii="Arial" w:hAnsi="Arial" w:cs="Arial"/>
        </w:rPr>
        <w:t xml:space="preserve">and conditioned media from GFP or P16-overexpressing hepatocytes was added for 48h. Cells were lysed with 25 </w:t>
      </w:r>
      <w:proofErr w:type="spellStart"/>
      <w:r w:rsidRPr="00E065CB">
        <w:rPr>
          <w:rFonts w:ascii="Arial" w:hAnsi="Arial" w:cs="Arial"/>
        </w:rPr>
        <w:t>μl</w:t>
      </w:r>
      <w:proofErr w:type="spellEnd"/>
      <w:r w:rsidRPr="00E065CB">
        <w:rPr>
          <w:rFonts w:ascii="Arial" w:hAnsi="Arial" w:cs="Arial"/>
        </w:rPr>
        <w:t>/well Promega Passive Lysis Buffer using the Promega Dual Luciferase Kit (Promega, E1910) and cell lysate was transfer to a luminometer-compatible microplate for measuring luciferase activity following the manufacturer’s instructions.</w:t>
      </w:r>
    </w:p>
    <w:p w14:paraId="44A0BADA" w14:textId="77777777" w:rsidR="00EF6D32" w:rsidRPr="00E065CB" w:rsidRDefault="00EF6D32" w:rsidP="00626417">
      <w:pPr>
        <w:spacing w:line="360" w:lineRule="auto"/>
        <w:jc w:val="both"/>
        <w:rPr>
          <w:rFonts w:ascii="Arial" w:hAnsi="Arial" w:cs="Arial"/>
        </w:rPr>
      </w:pPr>
    </w:p>
    <w:p w14:paraId="652D2438" w14:textId="77777777" w:rsidR="00EF6D32" w:rsidRPr="00E065CB" w:rsidRDefault="00EF6D32" w:rsidP="00626417">
      <w:pPr>
        <w:spacing w:line="360" w:lineRule="auto"/>
        <w:jc w:val="both"/>
        <w:rPr>
          <w:rFonts w:ascii="Arial" w:hAnsi="Arial" w:cs="Arial"/>
          <w:b/>
          <w:bCs/>
        </w:rPr>
      </w:pPr>
      <w:r w:rsidRPr="00E065CB">
        <w:rPr>
          <w:rFonts w:ascii="Arial" w:hAnsi="Arial" w:cs="Arial"/>
          <w:b/>
          <w:bCs/>
        </w:rPr>
        <w:t>Senescence induction in Huh7</w:t>
      </w:r>
    </w:p>
    <w:p w14:paraId="0FD36F2F" w14:textId="77777777" w:rsidR="00EF6D32" w:rsidRPr="00E065CB" w:rsidRDefault="00EF6D32" w:rsidP="00626417">
      <w:pPr>
        <w:spacing w:line="360" w:lineRule="auto"/>
        <w:jc w:val="both"/>
        <w:rPr>
          <w:rFonts w:ascii="Arial" w:hAnsi="Arial" w:cs="Arial"/>
        </w:rPr>
      </w:pPr>
      <w:r w:rsidRPr="00E065CB">
        <w:rPr>
          <w:rFonts w:ascii="Arial" w:hAnsi="Arial" w:cs="Arial"/>
        </w:rPr>
        <w:t xml:space="preserve">Huh7 cells were cultured in Dulbecco’s modified eagle medium (DMEM) supplemented with 10% FBS. Cells were treated with Palbociclib 0.5 </w:t>
      </w:r>
      <w:r w:rsidRPr="00E065CB">
        <w:rPr>
          <w:rFonts w:ascii="Arial" w:hAnsi="Arial" w:cs="Arial"/>
        </w:rPr>
        <w:sym w:font="Symbol" w:char="F06D"/>
      </w:r>
      <w:r w:rsidRPr="00E065CB">
        <w:rPr>
          <w:rFonts w:ascii="Arial" w:hAnsi="Arial" w:cs="Arial"/>
        </w:rPr>
        <w:t>M or vehicle for 8 days. Senescence was confirmed via SA-βgal activity, cell cycle arrest, and changes in morphology.</w:t>
      </w:r>
    </w:p>
    <w:p w14:paraId="3D5D14B3" w14:textId="77777777" w:rsidR="00EF6D32" w:rsidRPr="00E065CB" w:rsidRDefault="00EF6D32" w:rsidP="00626417">
      <w:pPr>
        <w:spacing w:line="360" w:lineRule="auto"/>
        <w:jc w:val="both"/>
        <w:rPr>
          <w:rFonts w:ascii="Arial" w:hAnsi="Arial" w:cs="Arial"/>
          <w:b/>
          <w:bCs/>
        </w:rPr>
      </w:pPr>
    </w:p>
    <w:p w14:paraId="36EFDA77" w14:textId="77777777" w:rsidR="00EF6D32" w:rsidRPr="00E065CB" w:rsidRDefault="00EF6D32" w:rsidP="00626417">
      <w:pPr>
        <w:spacing w:line="360" w:lineRule="auto"/>
        <w:jc w:val="both"/>
        <w:rPr>
          <w:rFonts w:ascii="Arial" w:hAnsi="Arial" w:cs="Arial"/>
          <w:b/>
          <w:bCs/>
        </w:rPr>
      </w:pPr>
      <w:r w:rsidRPr="00E065CB">
        <w:rPr>
          <w:rFonts w:ascii="Arial" w:hAnsi="Arial" w:cs="Arial"/>
          <w:b/>
          <w:bCs/>
        </w:rPr>
        <w:t>Conditioned media experiments</w:t>
      </w:r>
    </w:p>
    <w:p w14:paraId="2A9CCCFE" w14:textId="4CD8609B" w:rsidR="00EF6D32" w:rsidRPr="00E065CB" w:rsidRDefault="00EF6D32" w:rsidP="00626417">
      <w:pPr>
        <w:spacing w:line="360" w:lineRule="auto"/>
        <w:jc w:val="both"/>
        <w:rPr>
          <w:rFonts w:ascii="Arial" w:hAnsi="Arial" w:cs="Arial"/>
        </w:rPr>
      </w:pPr>
      <w:r w:rsidRPr="00E065CB">
        <w:rPr>
          <w:rFonts w:ascii="Arial" w:hAnsi="Arial" w:cs="Arial"/>
        </w:rPr>
        <w:t xml:space="preserve">LX2 cells were treated for 48h with conditioned media from GFP or P16 overexpressing primary hepatocytes, or vehicle or Palbociclib treated huh7 cells. LX2 cells were harvested to obtain RNA </w:t>
      </w:r>
      <w:r w:rsidR="0028443E" w:rsidRPr="00E065CB">
        <w:rPr>
          <w:rFonts w:ascii="Arial" w:hAnsi="Arial" w:cs="Arial"/>
        </w:rPr>
        <w:t>for mRNA measurement</w:t>
      </w:r>
      <w:r w:rsidRPr="00E065CB">
        <w:rPr>
          <w:rFonts w:ascii="Arial" w:hAnsi="Arial" w:cs="Arial"/>
        </w:rPr>
        <w:t xml:space="preserve">.  </w:t>
      </w:r>
    </w:p>
    <w:p w14:paraId="5C70E3DE" w14:textId="77777777" w:rsidR="00EF6D32" w:rsidRPr="00E065CB" w:rsidRDefault="00EF6D32" w:rsidP="00626417">
      <w:pPr>
        <w:spacing w:line="360" w:lineRule="auto"/>
        <w:contextualSpacing/>
        <w:jc w:val="both"/>
        <w:rPr>
          <w:rFonts w:ascii="Arial" w:hAnsi="Arial" w:cs="Arial"/>
        </w:rPr>
      </w:pPr>
    </w:p>
    <w:p w14:paraId="5035EE77" w14:textId="77777777" w:rsidR="00626417" w:rsidRPr="00E065CB" w:rsidRDefault="00EF6D32" w:rsidP="00626417">
      <w:pPr>
        <w:pStyle w:val="p"/>
        <w:shd w:val="clear" w:color="auto" w:fill="FFFFFF"/>
        <w:spacing w:before="0" w:beforeAutospacing="0" w:after="0" w:afterAutospacing="0" w:line="360" w:lineRule="auto"/>
        <w:contextualSpacing/>
        <w:jc w:val="both"/>
        <w:rPr>
          <w:rFonts w:ascii="Arial" w:eastAsia="LegacySerifStd-Book" w:hAnsi="Arial" w:cs="Arial"/>
          <w:b/>
        </w:rPr>
      </w:pPr>
      <w:r w:rsidRPr="00E065CB">
        <w:rPr>
          <w:rFonts w:ascii="Arial" w:eastAsia="LegacySerifStd-Book" w:hAnsi="Arial" w:cs="Arial"/>
          <w:b/>
        </w:rPr>
        <w:t>Two-step real time RT-PCR</w:t>
      </w:r>
    </w:p>
    <w:p w14:paraId="2105BA9D" w14:textId="3B0994B0" w:rsidR="00EF6D32" w:rsidRPr="00E065CB" w:rsidRDefault="00EF6D32" w:rsidP="00626417">
      <w:pPr>
        <w:pStyle w:val="p"/>
        <w:shd w:val="clear" w:color="auto" w:fill="FFFFFF"/>
        <w:spacing w:before="0" w:beforeAutospacing="0" w:after="0" w:afterAutospacing="0" w:line="360" w:lineRule="auto"/>
        <w:contextualSpacing/>
        <w:jc w:val="both"/>
        <w:rPr>
          <w:rFonts w:ascii="Arial" w:eastAsia="LegacySerifStd-Book" w:hAnsi="Arial" w:cs="Arial"/>
        </w:rPr>
      </w:pPr>
      <w:r w:rsidRPr="00E065CB">
        <w:rPr>
          <w:rFonts w:ascii="Arial" w:eastAsia="LegacySerifStd-Book" w:hAnsi="Arial" w:cs="Arial"/>
        </w:rPr>
        <w:t xml:space="preserve">Total RNA was extracted from liver tissue using </w:t>
      </w:r>
      <w:proofErr w:type="spellStart"/>
      <w:r w:rsidRPr="00E065CB">
        <w:rPr>
          <w:rFonts w:ascii="Arial" w:eastAsia="LegacySerifStd-Book" w:hAnsi="Arial" w:cs="Arial"/>
        </w:rPr>
        <w:t>TRIzol</w:t>
      </w:r>
      <w:proofErr w:type="spellEnd"/>
      <w:r w:rsidRPr="00E065CB">
        <w:rPr>
          <w:rFonts w:ascii="Arial" w:eastAsia="LegacySerifStd-Book" w:hAnsi="Arial" w:cs="Arial"/>
        </w:rPr>
        <w:t xml:space="preserve"> (</w:t>
      </w:r>
      <w:r w:rsidRPr="00E065CB">
        <w:rPr>
          <w:rFonts w:ascii="Arial" w:hAnsi="Arial" w:cs="Arial"/>
        </w:rPr>
        <w:t>Invitrogen, Carlsbad, CA</w:t>
      </w:r>
      <w:r w:rsidRPr="00E065CB">
        <w:rPr>
          <w:rFonts w:ascii="Arial" w:eastAsia="LegacySerifStd-Book" w:hAnsi="Arial" w:cs="Arial"/>
        </w:rPr>
        <w:t xml:space="preserve">) according to the manufacturer’s instructions. The concentration and purity of RNA were determined using a Nanodrop 2000 spectrophotometer. Template complementary DNAs were synthesized from total RNA using the High-Capacity cDNA Reverse Transcription Kit (Applied Biosystems, Foster City, CA) according to the manufacturer's protocols. Power SYBR Green Master Mix (Applied Biosystems) was used for real-time quantitative </w:t>
      </w:r>
      <w:r w:rsidRPr="00E065CB">
        <w:rPr>
          <w:rFonts w:ascii="Arial" w:eastAsia="LegacySerifStd-Book" w:hAnsi="Arial" w:cs="Arial"/>
        </w:rPr>
        <w:lastRenderedPageBreak/>
        <w:t>PCR (qPCR) on the manufacturer’s specifications (</w:t>
      </w:r>
      <w:proofErr w:type="spellStart"/>
      <w:r w:rsidRPr="00E065CB">
        <w:rPr>
          <w:rFonts w:ascii="Arial" w:eastAsia="LegacySerifStd-Book" w:hAnsi="Arial" w:cs="Arial"/>
        </w:rPr>
        <w:t>StepOnePlus</w:t>
      </w:r>
      <w:proofErr w:type="spellEnd"/>
      <w:r w:rsidRPr="00E065CB">
        <w:rPr>
          <w:rFonts w:ascii="Arial" w:eastAsia="LegacySerifStd-Book" w:hAnsi="Arial" w:cs="Arial"/>
        </w:rPr>
        <w:t>™ Real-Time PCR System, Applied Biosystems).</w:t>
      </w:r>
      <w:r w:rsidRPr="00E065CB">
        <w:rPr>
          <w:rFonts w:ascii="Arial" w:hAnsi="Arial" w:cs="Arial"/>
        </w:rPr>
        <w:t xml:space="preserve"> The qPCR results were normalized to the housekeeping gene 40S ribosomal proteins S9 (S9) mRNA based on the threshold cycle (C</w:t>
      </w:r>
      <w:r w:rsidRPr="00E065CB">
        <w:rPr>
          <w:rFonts w:ascii="Arial" w:hAnsi="Arial" w:cs="Arial"/>
          <w:vertAlign w:val="subscript"/>
        </w:rPr>
        <w:t>t</w:t>
      </w:r>
      <w:r w:rsidRPr="00E065CB">
        <w:rPr>
          <w:rFonts w:ascii="Arial" w:hAnsi="Arial" w:cs="Arial"/>
        </w:rPr>
        <w:t>) and relative fold-change was determined using the 2</w:t>
      </w:r>
      <w:r w:rsidRPr="00E065CB">
        <w:rPr>
          <w:rFonts w:ascii="Arial" w:hAnsi="Arial" w:cs="Arial"/>
          <w:vertAlign w:val="superscript"/>
        </w:rPr>
        <w:t>-ΔΔCt</w:t>
      </w:r>
      <w:r w:rsidRPr="00E065CB">
        <w:rPr>
          <w:rFonts w:ascii="Arial" w:hAnsi="Arial" w:cs="Arial"/>
        </w:rPr>
        <w:t> method. The sequences of primers used in this study are listed (</w:t>
      </w:r>
      <w:r w:rsidRPr="00E065CB">
        <w:rPr>
          <w:rFonts w:ascii="Arial" w:eastAsia="LegacySerifStd-Book" w:hAnsi="Arial" w:cs="Arial"/>
        </w:rPr>
        <w:t xml:space="preserve">Supplementary Table </w:t>
      </w:r>
      <w:r w:rsidR="00BD4DD7" w:rsidRPr="00E065CB">
        <w:rPr>
          <w:rFonts w:ascii="Arial" w:eastAsia="LegacySerifStd-Book" w:hAnsi="Arial" w:cs="Arial"/>
        </w:rPr>
        <w:t>5</w:t>
      </w:r>
      <w:r w:rsidRPr="00E065CB">
        <w:rPr>
          <w:rFonts w:ascii="Arial" w:eastAsia="LegacySerifStd-Book" w:hAnsi="Arial" w:cs="Arial"/>
        </w:rPr>
        <w:t>).</w:t>
      </w:r>
    </w:p>
    <w:p w14:paraId="36462172" w14:textId="77777777" w:rsidR="00626417" w:rsidRPr="00E065CB" w:rsidRDefault="00626417" w:rsidP="00626417">
      <w:pPr>
        <w:pStyle w:val="p"/>
        <w:shd w:val="clear" w:color="auto" w:fill="FFFFFF"/>
        <w:spacing w:before="0" w:beforeAutospacing="0" w:after="0" w:afterAutospacing="0" w:line="360" w:lineRule="auto"/>
        <w:contextualSpacing/>
        <w:jc w:val="both"/>
        <w:rPr>
          <w:rFonts w:ascii="Arial" w:eastAsia="LegacySerifStd-Book" w:hAnsi="Arial" w:cs="Arial"/>
        </w:rPr>
      </w:pPr>
    </w:p>
    <w:p w14:paraId="73D4D580" w14:textId="77777777" w:rsidR="00EF6D32" w:rsidRPr="00E065CB" w:rsidRDefault="00EF6D32" w:rsidP="00626417">
      <w:pPr>
        <w:pStyle w:val="p"/>
        <w:shd w:val="clear" w:color="auto" w:fill="FFFFFF"/>
        <w:spacing w:line="360" w:lineRule="auto"/>
        <w:contextualSpacing/>
        <w:jc w:val="both"/>
        <w:rPr>
          <w:rFonts w:ascii="Arial" w:eastAsia="LegacySerifStd-Book" w:hAnsi="Arial" w:cs="Arial"/>
          <w:b/>
          <w:bCs/>
          <w:sz w:val="22"/>
          <w:szCs w:val="22"/>
        </w:rPr>
      </w:pPr>
      <w:r w:rsidRPr="00E065CB">
        <w:rPr>
          <w:rFonts w:ascii="Arial" w:eastAsia="LegacySerifStd-Book" w:hAnsi="Arial" w:cs="Arial"/>
          <w:b/>
          <w:bCs/>
          <w:sz w:val="22"/>
          <w:szCs w:val="22"/>
        </w:rPr>
        <w:t>Western Blotting</w:t>
      </w:r>
    </w:p>
    <w:p w14:paraId="470F7FBE" w14:textId="77777777" w:rsidR="00EF6D32" w:rsidRPr="00E065CB" w:rsidRDefault="00EF6D32" w:rsidP="00626417">
      <w:pPr>
        <w:pStyle w:val="p"/>
        <w:shd w:val="clear" w:color="auto" w:fill="FFFFFF"/>
        <w:spacing w:line="360" w:lineRule="auto"/>
        <w:contextualSpacing/>
        <w:jc w:val="both"/>
        <w:rPr>
          <w:rFonts w:ascii="Arial" w:hAnsi="Arial" w:cs="Arial"/>
        </w:rPr>
      </w:pPr>
      <w:r w:rsidRPr="00E065CB">
        <w:rPr>
          <w:rFonts w:ascii="Arial" w:hAnsi="Arial" w:cs="Arial"/>
        </w:rPr>
        <w:t>Protein was extracted from isolated cell pellets or whole liver tissue using RIPA buffer with protease inhibitors (Sigma-Aldrich). Equal amounts of protein were loaded and separated by SDS-PAGE gel electrophoresis on 4%-20% Criterion gels (</w:t>
      </w:r>
      <w:proofErr w:type="spellStart"/>
      <w:r w:rsidRPr="00E065CB">
        <w:rPr>
          <w:rFonts w:ascii="Arial" w:hAnsi="Arial" w:cs="Arial"/>
        </w:rPr>
        <w:t>BioRad</w:t>
      </w:r>
      <w:proofErr w:type="spellEnd"/>
      <w:r w:rsidRPr="00E065CB">
        <w:rPr>
          <w:rFonts w:ascii="Arial" w:hAnsi="Arial" w:cs="Arial"/>
        </w:rPr>
        <w:t>, Hercules, CA), and then transferred to PVDF membranes, and incubated with the following primary antibodies: Vimentin (ab92547), Collagen I (cs84336), P16 (ab211542), p21 (ab188224), THBD (sc-271804), PAR1 (sc-13503), Shh (sc-9024) or β-tubulin (Abcam, ab6046). Blots were visualized with HRP-conjugated secondary antibodies.</w:t>
      </w:r>
    </w:p>
    <w:p w14:paraId="38A479C2" w14:textId="77777777" w:rsidR="00EF6D32" w:rsidRPr="00E065CB" w:rsidRDefault="00EF6D32" w:rsidP="00626417">
      <w:pPr>
        <w:spacing w:line="360" w:lineRule="auto"/>
        <w:jc w:val="both"/>
        <w:rPr>
          <w:rFonts w:ascii="Arial" w:hAnsi="Arial" w:cs="Arial"/>
          <w:b/>
          <w:bCs/>
          <w:iCs/>
        </w:rPr>
      </w:pPr>
      <w:r w:rsidRPr="00E065CB">
        <w:rPr>
          <w:rFonts w:ascii="Arial" w:hAnsi="Arial" w:cs="Arial"/>
          <w:b/>
        </w:rPr>
        <w:t>Liver histology and</w:t>
      </w:r>
      <w:r w:rsidRPr="00E065CB">
        <w:rPr>
          <w:rFonts w:ascii="Arial" w:hAnsi="Arial" w:cs="Arial"/>
          <w:b/>
          <w:bCs/>
          <w:iCs/>
        </w:rPr>
        <w:t xml:space="preserve"> histochemistry</w:t>
      </w:r>
    </w:p>
    <w:p w14:paraId="18DFEA3C" w14:textId="77777777" w:rsidR="00EF6D32" w:rsidRPr="00E065CB" w:rsidRDefault="00EF6D32" w:rsidP="00626417">
      <w:pPr>
        <w:spacing w:line="360" w:lineRule="auto"/>
        <w:jc w:val="both"/>
        <w:rPr>
          <w:rFonts w:ascii="Arial" w:hAnsi="Arial" w:cs="Arial"/>
        </w:rPr>
      </w:pPr>
      <w:r w:rsidRPr="00E065CB">
        <w:rPr>
          <w:rFonts w:ascii="Arial" w:hAnsi="Arial" w:cs="Arial"/>
        </w:rPr>
        <w:t xml:space="preserve">Liver specimens were fixed in 10% neutral buffered formalin, embedded in paraffin using standard methods and cut into 5 µm sections. For immunohistochemistry, liver sections were deparaffinized, hydrated and incubated in 3% hydrogen peroxide to block endogenous peroxidase. Antigen retrieval was performed by heating in 10 mM sodium citrate buffer (pH 6.0) for 10 min using a microwave. Specimens were blocked in </w:t>
      </w:r>
      <w:proofErr w:type="spellStart"/>
      <w:r w:rsidRPr="00E065CB">
        <w:rPr>
          <w:rFonts w:ascii="Arial" w:hAnsi="Arial" w:cs="Arial"/>
        </w:rPr>
        <w:t>Dako</w:t>
      </w:r>
      <w:proofErr w:type="spellEnd"/>
      <w:r w:rsidRPr="00E065CB">
        <w:rPr>
          <w:rFonts w:ascii="Arial" w:hAnsi="Arial" w:cs="Arial"/>
        </w:rPr>
        <w:t xml:space="preserve"> Protein Block solution (Agilent, Santa Clara, CA) for 30 min at room temperature followed by incubation with primary antibody at 4 °C overnight. Immunohistochemistry was used to detect target proteins using the following antibodies: P21 (ab188224, Abcam), PAR1 (sc13503, Santa Cruz), </w:t>
      </w:r>
      <w:proofErr w:type="spellStart"/>
      <w:r w:rsidRPr="00E065CB">
        <w:rPr>
          <w:rFonts w:ascii="Arial" w:hAnsi="Arial" w:cs="Arial"/>
        </w:rPr>
        <w:t>Thbd</w:t>
      </w:r>
      <w:proofErr w:type="spellEnd"/>
      <w:r w:rsidRPr="00E065CB">
        <w:rPr>
          <w:rFonts w:ascii="Arial" w:hAnsi="Arial" w:cs="Arial"/>
        </w:rPr>
        <w:t xml:space="preserve"> (sc271804, Santa Cruz), S10P-Histone3 (ab5176, Abcam), Ki67 (ab16667, Abcam), and Sonic hedgehog (Shh) (ab73958, Abcam). Secondary antibodies were HRP-conjugated anti-rabbit (K4003, DAKO) and anti-mouse (K4001, DAKO) antibodies. Blocking and chromogenic detection was performed using the DAKO Envision System with DAB substrate (DAKO Corporation) according to the manufacturer’s protocol. Tissue sections were counterstained with Hematoxylin Gill Nº1 (Sigma Aldrich). The specific staining was visualized and ten images per liver were acquired using a microscope equipped with a digital camera. Percentage of positive area or positive cells per field were quantified using ImageJ software. Cellular senescence in liver was evaluated by SA-β-gal staining using a commercially available kit (Cell Signaling, #9860) and followed the manufacturer’s instruction. Lipid accumulation in liver was evaluated by Oil Red O staining. Frozen liver tissue samples were cut at 10uM thickness, fixed with 10% formalin, and stained with Oil Red O (Sigma, O0625-25G) for 10 min. Results were examined by light microscopy. </w:t>
      </w:r>
    </w:p>
    <w:p w14:paraId="6129C2B5" w14:textId="77777777" w:rsidR="00EF6D32" w:rsidRPr="00E065CB" w:rsidRDefault="00EF6D32" w:rsidP="00626417">
      <w:pPr>
        <w:spacing w:line="360" w:lineRule="auto"/>
        <w:jc w:val="both"/>
        <w:rPr>
          <w:rFonts w:ascii="Arial" w:eastAsia="LegacySerifStd-Book" w:hAnsi="Arial" w:cs="Arial"/>
          <w:b/>
        </w:rPr>
      </w:pPr>
    </w:p>
    <w:p w14:paraId="1A1F7B77" w14:textId="77777777" w:rsidR="00EF6D32" w:rsidRPr="00E065CB" w:rsidRDefault="00EF6D32" w:rsidP="00626417">
      <w:pPr>
        <w:spacing w:line="360" w:lineRule="auto"/>
        <w:jc w:val="both"/>
        <w:rPr>
          <w:rFonts w:ascii="Arial" w:eastAsia="LegacySerifStd-Book" w:hAnsi="Arial" w:cs="Arial"/>
          <w:b/>
        </w:rPr>
      </w:pPr>
      <w:r w:rsidRPr="00E065CB">
        <w:rPr>
          <w:rFonts w:ascii="Arial" w:eastAsia="LegacySerifStd-Book" w:hAnsi="Arial" w:cs="Arial"/>
          <w:b/>
        </w:rPr>
        <w:t>RNA-Seq and analysis</w:t>
      </w:r>
    </w:p>
    <w:p w14:paraId="44D03250" w14:textId="028BF7F8" w:rsidR="00EF6D32" w:rsidRPr="00E065CB" w:rsidRDefault="00EF6D32" w:rsidP="00626417">
      <w:pPr>
        <w:spacing w:line="360" w:lineRule="auto"/>
        <w:jc w:val="both"/>
        <w:rPr>
          <w:rFonts w:ascii="Arial" w:eastAsia="LegacySerifStd-Book" w:hAnsi="Arial" w:cs="Arial"/>
        </w:rPr>
      </w:pPr>
      <w:r w:rsidRPr="00E065CB">
        <w:rPr>
          <w:rFonts w:ascii="Arial" w:eastAsia="LegacySerifStd-Book" w:hAnsi="Arial" w:cs="Arial"/>
        </w:rPr>
        <w:t xml:space="preserve">Global transcriptome profiling was performed by RNA-seq using freshly isolated hepatocytes from young wild type mice and P16-overexpressing cells before and at 48h after PH (n=3 mice/group/time point). Total RNA was extracted using RNeasy mini kit (Qiagen, Hilden, Germany) following the manufacturer’s instructions. mRNA library preparation (poly A enrichment) and mRNA-Seq was performed by </w:t>
      </w:r>
      <w:proofErr w:type="spellStart"/>
      <w:r w:rsidRPr="00E065CB">
        <w:rPr>
          <w:rFonts w:ascii="Arial" w:eastAsia="LegacySerifStd-Book" w:hAnsi="Arial" w:cs="Arial"/>
        </w:rPr>
        <w:t>Novogene</w:t>
      </w:r>
      <w:proofErr w:type="spellEnd"/>
      <w:r w:rsidRPr="00E065CB">
        <w:rPr>
          <w:rFonts w:ascii="Arial" w:eastAsia="LegacySerifStd-Book" w:hAnsi="Arial" w:cs="Arial"/>
        </w:rPr>
        <w:t xml:space="preserve"> using Illumina </w:t>
      </w:r>
      <w:proofErr w:type="spellStart"/>
      <w:r w:rsidRPr="00E065CB">
        <w:rPr>
          <w:rFonts w:ascii="Arial" w:eastAsia="LegacySerifStd-Book" w:hAnsi="Arial" w:cs="Arial"/>
        </w:rPr>
        <w:t>NovaSeq</w:t>
      </w:r>
      <w:proofErr w:type="spellEnd"/>
      <w:r w:rsidRPr="00E065CB">
        <w:rPr>
          <w:rFonts w:ascii="Arial" w:eastAsia="LegacySerifStd-Book" w:hAnsi="Arial" w:cs="Arial"/>
        </w:rPr>
        <w:t xml:space="preserve"> PE150 platform. Resulting data was pre-processed: </w:t>
      </w:r>
      <w:proofErr w:type="spellStart"/>
      <w:r w:rsidRPr="00E065CB">
        <w:rPr>
          <w:rFonts w:ascii="Arial" w:eastAsia="LegacySerifStd-Book" w:hAnsi="Arial" w:cs="Arial"/>
          <w:i/>
        </w:rPr>
        <w:t>Trim_galore</w:t>
      </w:r>
      <w:proofErr w:type="spellEnd"/>
      <w:r w:rsidRPr="00E065CB">
        <w:rPr>
          <w:rFonts w:ascii="Arial" w:eastAsia="LegacySerifStd-Book" w:hAnsi="Arial" w:cs="Arial"/>
        </w:rPr>
        <w:t xml:space="preserve"> was used to trim off adapter and low-quality reads, </w:t>
      </w:r>
      <w:r w:rsidRPr="00E065CB">
        <w:rPr>
          <w:rFonts w:ascii="Arial" w:eastAsia="LegacySerifStd-Book" w:hAnsi="Arial" w:cs="Arial"/>
          <w:i/>
        </w:rPr>
        <w:t>STAR</w:t>
      </w:r>
      <w:r w:rsidRPr="00E065CB">
        <w:rPr>
          <w:rFonts w:ascii="Arial" w:eastAsia="LegacySerifStd-Book" w:hAnsi="Arial" w:cs="Arial"/>
        </w:rPr>
        <w:t xml:space="preserve"> for reads alignment to the reference genome (mm10_STAR_genome_idx), </w:t>
      </w:r>
      <w:proofErr w:type="spellStart"/>
      <w:r w:rsidRPr="00E065CB">
        <w:rPr>
          <w:rFonts w:ascii="Arial" w:eastAsia="LegacySerifStd-Book" w:hAnsi="Arial" w:cs="Arial"/>
          <w:i/>
        </w:rPr>
        <w:t>Samtools</w:t>
      </w:r>
      <w:proofErr w:type="spellEnd"/>
      <w:r w:rsidRPr="00E065CB">
        <w:rPr>
          <w:rFonts w:ascii="Arial" w:eastAsia="LegacySerifStd-Book" w:hAnsi="Arial" w:cs="Arial"/>
          <w:i/>
        </w:rPr>
        <w:t xml:space="preserve"> index</w:t>
      </w:r>
      <w:r w:rsidRPr="00E065CB">
        <w:rPr>
          <w:rFonts w:ascii="Arial" w:eastAsia="LegacySerifStd-Book" w:hAnsi="Arial" w:cs="Arial"/>
        </w:rPr>
        <w:t xml:space="preserve"> sorted bam files, </w:t>
      </w:r>
      <w:r w:rsidRPr="00E065CB">
        <w:rPr>
          <w:rFonts w:ascii="Arial" w:eastAsia="LegacySerifStd-Book" w:hAnsi="Arial" w:cs="Arial"/>
          <w:i/>
        </w:rPr>
        <w:t>Picard</w:t>
      </w:r>
      <w:r w:rsidRPr="00E065CB">
        <w:rPr>
          <w:rFonts w:ascii="Arial" w:eastAsia="LegacySerifStd-Book" w:hAnsi="Arial" w:cs="Arial"/>
        </w:rPr>
        <w:t xml:space="preserve"> removed duplicates and </w:t>
      </w:r>
      <w:proofErr w:type="spellStart"/>
      <w:r w:rsidRPr="00E065CB">
        <w:rPr>
          <w:rFonts w:ascii="Arial" w:eastAsia="LegacySerifStd-Book" w:hAnsi="Arial" w:cs="Arial"/>
          <w:i/>
        </w:rPr>
        <w:t>HTSeq</w:t>
      </w:r>
      <w:proofErr w:type="spellEnd"/>
      <w:r w:rsidRPr="00E065CB">
        <w:rPr>
          <w:rFonts w:ascii="Arial" w:eastAsia="LegacySerifStd-Book" w:hAnsi="Arial" w:cs="Arial"/>
        </w:rPr>
        <w:t xml:space="preserve"> for quantification of the gene expression data. Differential expression analysis and gene set enrichment analysis were performed using </w:t>
      </w:r>
      <w:proofErr w:type="spellStart"/>
      <w:r w:rsidRPr="00E065CB">
        <w:rPr>
          <w:rFonts w:ascii="Arial" w:eastAsia="LegacySerifStd-Book" w:hAnsi="Arial" w:cs="Arial"/>
          <w:i/>
        </w:rPr>
        <w:t>Deseq</w:t>
      </w:r>
      <w:proofErr w:type="spellEnd"/>
      <w:r w:rsidRPr="00E065CB">
        <w:rPr>
          <w:rFonts w:ascii="Arial" w:eastAsia="LegacySerifStd-Book" w:hAnsi="Arial" w:cs="Arial"/>
        </w:rPr>
        <w:t xml:space="preserve"> and </w:t>
      </w:r>
      <w:r w:rsidRPr="00E065CB">
        <w:rPr>
          <w:rFonts w:ascii="Arial" w:eastAsia="LegacySerifStd-Book" w:hAnsi="Arial" w:cs="Arial"/>
          <w:i/>
        </w:rPr>
        <w:t>GSEA</w:t>
      </w:r>
      <w:r w:rsidRPr="00E065CB">
        <w:rPr>
          <w:rFonts w:ascii="Arial" w:eastAsia="LegacySerifStd-Book" w:hAnsi="Arial" w:cs="Arial"/>
        </w:rPr>
        <w:t xml:space="preserve">, respectively. The dataset is available at the National Center for Biotechnology Information (NCBI) Gene Expression Omnibus database, accession number </w:t>
      </w:r>
      <w:r w:rsidR="00F96650" w:rsidRPr="00E065CB">
        <w:rPr>
          <w:rFonts w:ascii="Arial" w:eastAsia="LegacySerifStd-Book" w:hAnsi="Arial" w:cs="Arial"/>
        </w:rPr>
        <w:t>GSE204901</w:t>
      </w:r>
      <w:r w:rsidRPr="00E065CB">
        <w:rPr>
          <w:rFonts w:ascii="Arial" w:eastAsia="LegacySerifStd-Book" w:hAnsi="Arial" w:cs="Arial"/>
        </w:rPr>
        <w:t>.</w:t>
      </w:r>
    </w:p>
    <w:p w14:paraId="50031200" w14:textId="77777777" w:rsidR="006E3E5F" w:rsidRPr="00E065CB" w:rsidRDefault="006E3E5F" w:rsidP="00626417">
      <w:pPr>
        <w:spacing w:line="360" w:lineRule="auto"/>
        <w:rPr>
          <w:rFonts w:ascii="Arial" w:eastAsia="LegacySerifStd-Book" w:hAnsi="Arial" w:cs="Arial"/>
        </w:rPr>
      </w:pPr>
    </w:p>
    <w:p w14:paraId="2BAE22DC" w14:textId="77777777" w:rsidR="00EF6D32" w:rsidRPr="00E065CB" w:rsidRDefault="00EF6D32" w:rsidP="00626417">
      <w:pPr>
        <w:spacing w:line="360" w:lineRule="auto"/>
        <w:rPr>
          <w:rFonts w:ascii="Arial" w:hAnsi="Arial" w:cs="Arial"/>
        </w:rPr>
      </w:pPr>
      <w:r w:rsidRPr="00E065CB">
        <w:rPr>
          <w:rFonts w:ascii="Arial" w:hAnsi="Arial" w:cs="Arial"/>
          <w:b/>
          <w:bCs/>
          <w:lang w:val="en-GB"/>
        </w:rPr>
        <w:t>Statistics</w:t>
      </w:r>
    </w:p>
    <w:p w14:paraId="527C2B8A" w14:textId="77777777" w:rsidR="00EF6D32" w:rsidRPr="00E065CB" w:rsidRDefault="00EF6D32" w:rsidP="00626417">
      <w:pPr>
        <w:widowControl w:val="0"/>
        <w:kinsoku w:val="0"/>
        <w:overflowPunct w:val="0"/>
        <w:autoSpaceDE w:val="0"/>
        <w:autoSpaceDN w:val="0"/>
        <w:adjustRightInd w:val="0"/>
        <w:spacing w:line="360" w:lineRule="auto"/>
        <w:jc w:val="both"/>
        <w:rPr>
          <w:rFonts w:ascii="Arial" w:hAnsi="Arial" w:cs="Arial"/>
        </w:rPr>
      </w:pPr>
      <w:r w:rsidRPr="00E065CB">
        <w:rPr>
          <w:rFonts w:ascii="Arial" w:hAnsi="Arial" w:cs="Arial"/>
        </w:rPr>
        <w:t>Data are expressed as mean ± S.E.M., unless otherwise specified. Statistical significance between two groups was analyzed by two-tailed Student's </w:t>
      </w:r>
      <w:r w:rsidRPr="00E065CB">
        <w:rPr>
          <w:rStyle w:val="Emphasis"/>
          <w:rFonts w:ascii="Arial" w:hAnsi="Arial" w:cs="Arial"/>
        </w:rPr>
        <w:t>t</w:t>
      </w:r>
      <w:r w:rsidRPr="00E065CB">
        <w:rPr>
          <w:rFonts w:ascii="Arial" w:hAnsi="Arial" w:cs="Arial"/>
        </w:rPr>
        <w:t xml:space="preserve"> test, whereas comparisons of multiple groups were evaluated by two-way analysis of variance (ANOVA) as specified followed by a </w:t>
      </w:r>
      <w:r w:rsidRPr="00E065CB">
        <w:rPr>
          <w:rFonts w:ascii="Arial" w:hAnsi="Arial" w:cs="Arial"/>
          <w:i/>
        </w:rPr>
        <w:t>post-hoc</w:t>
      </w:r>
      <w:r w:rsidRPr="00E065CB">
        <w:rPr>
          <w:rFonts w:ascii="Arial" w:hAnsi="Arial" w:cs="Arial"/>
        </w:rPr>
        <w:t xml:space="preserve"> Tukey’s test. </w:t>
      </w:r>
      <w:r w:rsidRPr="00E065CB">
        <w:rPr>
          <w:rFonts w:ascii="Arial" w:hAnsi="Arial" w:cs="Arial"/>
          <w:i/>
        </w:rPr>
        <w:t>p</w:t>
      </w:r>
      <w:r w:rsidRPr="00E065CB">
        <w:rPr>
          <w:rFonts w:ascii="Arial" w:hAnsi="Arial" w:cs="Arial"/>
        </w:rPr>
        <w:t>-values &lt; 0.05 were considered statistically significant. Drawing graphs and statistical analyses were performed using GraphPad Prism 8 (GraphPad Software, Inc. La Jolla, CA, USA).</w:t>
      </w:r>
    </w:p>
    <w:p w14:paraId="0E6F6071" w14:textId="77777777" w:rsidR="00EF6D32" w:rsidRPr="00E065CB" w:rsidRDefault="00EF6D32" w:rsidP="00C076B1">
      <w:pPr>
        <w:tabs>
          <w:tab w:val="num" w:pos="720"/>
        </w:tabs>
        <w:spacing w:line="480" w:lineRule="auto"/>
        <w:jc w:val="both"/>
        <w:rPr>
          <w:rFonts w:ascii="Arial" w:hAnsi="Arial" w:cs="Arial"/>
          <w:b/>
          <w:noProof/>
        </w:rPr>
      </w:pPr>
    </w:p>
    <w:p w14:paraId="477BC1AD" w14:textId="77777777" w:rsidR="00A4675B" w:rsidRPr="00E065CB" w:rsidRDefault="00A4675B" w:rsidP="00C076B1">
      <w:pPr>
        <w:tabs>
          <w:tab w:val="num" w:pos="720"/>
        </w:tabs>
        <w:spacing w:line="480" w:lineRule="auto"/>
        <w:jc w:val="both"/>
        <w:rPr>
          <w:rFonts w:ascii="Arial" w:hAnsi="Arial" w:cs="Arial"/>
          <w:b/>
          <w:noProof/>
        </w:rPr>
      </w:pPr>
    </w:p>
    <w:p w14:paraId="4F57A226" w14:textId="7E5DD8C8" w:rsidR="002730C1" w:rsidRPr="00E065CB" w:rsidRDefault="00F60016" w:rsidP="00A756CB">
      <w:pPr>
        <w:tabs>
          <w:tab w:val="num" w:pos="720"/>
        </w:tabs>
        <w:spacing w:line="480" w:lineRule="auto"/>
        <w:jc w:val="both"/>
        <w:rPr>
          <w:rFonts w:ascii="Arial" w:hAnsi="Arial" w:cs="Arial"/>
          <w:b/>
          <w:noProof/>
        </w:rPr>
      </w:pPr>
      <w:r w:rsidRPr="00E065CB">
        <w:rPr>
          <w:rFonts w:ascii="Arial" w:hAnsi="Arial" w:cs="Arial"/>
          <w:b/>
          <w:noProof/>
        </w:rPr>
        <w:t xml:space="preserve">Supplementary </w:t>
      </w:r>
      <w:r w:rsidR="00981795" w:rsidRPr="00E065CB">
        <w:rPr>
          <w:rFonts w:ascii="Arial" w:hAnsi="Arial" w:cs="Arial"/>
          <w:b/>
          <w:noProof/>
        </w:rPr>
        <w:t>Figure Legends</w:t>
      </w:r>
    </w:p>
    <w:p w14:paraId="038C9091" w14:textId="77777777" w:rsidR="0037379C" w:rsidRPr="00E065CB" w:rsidRDefault="0037379C" w:rsidP="00A756CB">
      <w:pPr>
        <w:tabs>
          <w:tab w:val="num" w:pos="720"/>
        </w:tabs>
        <w:spacing w:line="480" w:lineRule="auto"/>
        <w:jc w:val="both"/>
        <w:rPr>
          <w:rFonts w:ascii="Arial" w:hAnsi="Arial" w:cs="Arial"/>
          <w:b/>
          <w:noProof/>
        </w:rPr>
      </w:pPr>
    </w:p>
    <w:p w14:paraId="57ED8048" w14:textId="79058EF6" w:rsidR="00EF6D32" w:rsidRPr="00E065CB" w:rsidRDefault="00C076B1" w:rsidP="00981795">
      <w:pPr>
        <w:tabs>
          <w:tab w:val="num" w:pos="720"/>
        </w:tabs>
        <w:spacing w:line="360" w:lineRule="auto"/>
        <w:contextualSpacing/>
        <w:jc w:val="both"/>
        <w:rPr>
          <w:rFonts w:ascii="Arial" w:hAnsi="Arial" w:cs="Arial"/>
          <w:noProof/>
        </w:rPr>
      </w:pPr>
      <w:r w:rsidRPr="00E065CB">
        <w:rPr>
          <w:rFonts w:ascii="Arial" w:hAnsi="Arial" w:cs="Arial"/>
          <w:b/>
          <w:noProof/>
        </w:rPr>
        <w:t xml:space="preserve">Supplementary Figure 1. </w:t>
      </w:r>
      <w:r w:rsidR="003A5889" w:rsidRPr="00E065CB">
        <w:rPr>
          <w:rFonts w:ascii="Arial" w:hAnsi="Arial" w:cs="Arial"/>
          <w:b/>
          <w:bCs/>
        </w:rPr>
        <w:t>Inducing senescence in hepatocytes inhibits liver regeneration</w:t>
      </w:r>
      <w:r w:rsidR="00EF6D32" w:rsidRPr="00E065CB">
        <w:rPr>
          <w:rFonts w:ascii="Arial" w:hAnsi="Arial" w:cs="Arial"/>
          <w:b/>
          <w:bCs/>
          <w:noProof/>
        </w:rPr>
        <w:t>.</w:t>
      </w:r>
      <w:r w:rsidR="0028443E" w:rsidRPr="00E065CB">
        <w:rPr>
          <w:rFonts w:ascii="Arial" w:hAnsi="Arial" w:cs="Arial"/>
          <w:b/>
        </w:rPr>
        <w:t xml:space="preserve"> (A)</w:t>
      </w:r>
      <w:r w:rsidR="00EF6D32" w:rsidRPr="00E065CB">
        <w:rPr>
          <w:rFonts w:ascii="Arial" w:hAnsi="Arial" w:cs="Arial"/>
          <w:b/>
          <w:bCs/>
          <w:noProof/>
        </w:rPr>
        <w:t xml:space="preserve"> </w:t>
      </w:r>
      <w:r w:rsidR="00EF6D32" w:rsidRPr="00E065CB">
        <w:rPr>
          <w:rFonts w:ascii="Arial" w:hAnsi="Arial" w:cs="Arial"/>
          <w:noProof/>
        </w:rPr>
        <w:t>Liver to body weight ratios</w:t>
      </w:r>
      <w:r w:rsidR="00EF6D32" w:rsidRPr="00E065CB">
        <w:rPr>
          <w:rFonts w:ascii="Arial" w:hAnsi="Arial" w:cs="Arial"/>
        </w:rPr>
        <w:t xml:space="preserve"> from GFP and P16 overexpressing mice after CCl</w:t>
      </w:r>
      <w:r w:rsidR="00EF6D32" w:rsidRPr="00E065CB">
        <w:rPr>
          <w:rFonts w:ascii="Arial" w:hAnsi="Arial" w:cs="Arial"/>
          <w:vertAlign w:val="subscript"/>
        </w:rPr>
        <w:t>4</w:t>
      </w:r>
      <w:r w:rsidR="00EF6D32" w:rsidRPr="00E065CB">
        <w:rPr>
          <w:rFonts w:ascii="Arial" w:hAnsi="Arial" w:cs="Arial"/>
        </w:rPr>
        <w:t xml:space="preserve"> toxicity</w:t>
      </w:r>
      <w:r w:rsidR="00EF6D32" w:rsidRPr="00E065CB">
        <w:rPr>
          <w:rFonts w:ascii="Arial" w:hAnsi="Arial" w:cs="Arial"/>
          <w:noProof/>
        </w:rPr>
        <w:t xml:space="preserve">. </w:t>
      </w:r>
      <w:r w:rsidR="0028443E" w:rsidRPr="00E065CB">
        <w:rPr>
          <w:rFonts w:ascii="Arial" w:hAnsi="Arial" w:cs="Arial"/>
          <w:b/>
        </w:rPr>
        <w:t>(B, C)</w:t>
      </w:r>
      <w:r w:rsidR="0028443E" w:rsidRPr="00E065CB">
        <w:rPr>
          <w:rFonts w:ascii="Arial" w:hAnsi="Arial" w:cs="Arial"/>
          <w:b/>
          <w:bCs/>
          <w:noProof/>
        </w:rPr>
        <w:t xml:space="preserve"> </w:t>
      </w:r>
      <w:r w:rsidR="00A756CB" w:rsidRPr="00E065CB">
        <w:rPr>
          <w:rFonts w:ascii="Arial" w:hAnsi="Arial" w:cs="Arial"/>
          <w:noProof/>
        </w:rPr>
        <w:t>Markers of hepatocyte proliferation after PHx in liver sections from GFP and P16 over-expressing mice. Results shown as MEAN +/- SEM (n=3 mice/group/time, *p&lt;0.05). Micrographs 100X magnification.</w:t>
      </w:r>
    </w:p>
    <w:p w14:paraId="708F89FA" w14:textId="4DAD37C0" w:rsidR="002730C1" w:rsidRPr="00E065CB" w:rsidRDefault="002730C1" w:rsidP="00981795">
      <w:pPr>
        <w:tabs>
          <w:tab w:val="num" w:pos="720"/>
        </w:tabs>
        <w:spacing w:line="360" w:lineRule="auto"/>
        <w:contextualSpacing/>
        <w:jc w:val="both"/>
        <w:rPr>
          <w:rFonts w:ascii="Arial" w:hAnsi="Arial" w:cs="Arial"/>
          <w:noProof/>
        </w:rPr>
      </w:pPr>
    </w:p>
    <w:p w14:paraId="10FB4790" w14:textId="4DC1B037" w:rsidR="002730C1" w:rsidRPr="00E065CB" w:rsidRDefault="002730C1" w:rsidP="002730C1">
      <w:pPr>
        <w:spacing w:line="360" w:lineRule="auto"/>
        <w:jc w:val="both"/>
        <w:rPr>
          <w:rFonts w:ascii="Arial" w:hAnsi="Arial" w:cs="Arial"/>
        </w:rPr>
      </w:pPr>
      <w:r w:rsidRPr="00E065CB">
        <w:rPr>
          <w:rFonts w:ascii="Arial" w:hAnsi="Arial" w:cs="Arial"/>
          <w:b/>
          <w:noProof/>
        </w:rPr>
        <w:t>Supplementary</w:t>
      </w:r>
      <w:r w:rsidRPr="00E065CB">
        <w:rPr>
          <w:rFonts w:ascii="Arial" w:hAnsi="Arial" w:cs="Arial"/>
          <w:b/>
          <w:bCs/>
          <w:noProof/>
        </w:rPr>
        <w:t xml:space="preserve"> Figure 2. </w:t>
      </w:r>
      <w:r w:rsidRPr="00E065CB">
        <w:rPr>
          <w:rFonts w:ascii="Arial" w:hAnsi="Arial" w:cs="Arial"/>
          <w:b/>
        </w:rPr>
        <w:t xml:space="preserve">THBD-PAR1 axis enables senescent hepatocyte accumulation </w:t>
      </w:r>
      <w:r w:rsidRPr="00E065CB">
        <w:rPr>
          <w:rFonts w:ascii="Arial" w:eastAsiaTheme="minorEastAsia" w:hAnsi="Arial" w:cs="Arial"/>
          <w:b/>
          <w:lang w:eastAsia="zh-CN"/>
        </w:rPr>
        <w:t>during</w:t>
      </w:r>
      <w:r w:rsidRPr="00E065CB">
        <w:rPr>
          <w:rFonts w:ascii="Arial" w:hAnsi="Arial" w:cs="Arial"/>
          <w:b/>
        </w:rPr>
        <w:t xml:space="preserve"> NAFLD. (A) </w:t>
      </w:r>
      <w:r w:rsidRPr="00E065CB">
        <w:rPr>
          <w:rFonts w:ascii="Arial" w:hAnsi="Arial" w:cs="Arial"/>
        </w:rPr>
        <w:t>Hepatic expression of THBD and PAR1 was examined in a published RNA-seq dataset (GSE167264), and data graphed as total counts in obese (</w:t>
      </w:r>
      <w:proofErr w:type="spellStart"/>
      <w:r w:rsidRPr="00E065CB">
        <w:rPr>
          <w:rFonts w:ascii="Arial" w:hAnsi="Arial" w:cs="Arial"/>
        </w:rPr>
        <w:t>ob</w:t>
      </w:r>
      <w:proofErr w:type="spellEnd"/>
      <w:r w:rsidRPr="00E065CB">
        <w:rPr>
          <w:rFonts w:ascii="Arial" w:hAnsi="Arial" w:cs="Arial"/>
        </w:rPr>
        <w:t>/</w:t>
      </w:r>
      <w:proofErr w:type="spellStart"/>
      <w:r w:rsidRPr="00E065CB">
        <w:rPr>
          <w:rFonts w:ascii="Arial" w:hAnsi="Arial" w:cs="Arial"/>
        </w:rPr>
        <w:t>ob</w:t>
      </w:r>
      <w:proofErr w:type="spellEnd"/>
      <w:r w:rsidRPr="00E065CB">
        <w:rPr>
          <w:rFonts w:ascii="Arial" w:hAnsi="Arial" w:cs="Arial"/>
        </w:rPr>
        <w:t>) vs lean mice</w:t>
      </w:r>
      <w:r w:rsidR="0028443E" w:rsidRPr="00E065CB">
        <w:rPr>
          <w:rFonts w:ascii="Arial" w:hAnsi="Arial" w:cs="Arial"/>
        </w:rPr>
        <w:t>,</w:t>
      </w:r>
      <w:r w:rsidRPr="00E065CB">
        <w:rPr>
          <w:rFonts w:ascii="Arial" w:hAnsi="Arial" w:cs="Arial"/>
        </w:rPr>
        <w:t xml:space="preserve"> *p&lt;0.05</w:t>
      </w:r>
      <w:r w:rsidR="0028443E" w:rsidRPr="00E065CB">
        <w:rPr>
          <w:rFonts w:ascii="Arial" w:hAnsi="Arial" w:cs="Arial"/>
        </w:rPr>
        <w:t xml:space="preserve"> vs lean mice</w:t>
      </w:r>
      <w:r w:rsidRPr="00E065CB">
        <w:rPr>
          <w:rFonts w:ascii="Arial" w:hAnsi="Arial" w:cs="Arial"/>
        </w:rPr>
        <w:t>.</w:t>
      </w:r>
      <w:r w:rsidRPr="00E065CB">
        <w:rPr>
          <w:rFonts w:ascii="Arial" w:hAnsi="Arial" w:cs="Arial"/>
          <w:b/>
        </w:rPr>
        <w:t xml:space="preserve"> </w:t>
      </w:r>
      <w:r w:rsidRPr="00E065CB">
        <w:rPr>
          <w:rFonts w:ascii="Arial" w:hAnsi="Arial" w:cs="Arial"/>
        </w:rPr>
        <w:t>In separate experiments,</w:t>
      </w:r>
      <w:r w:rsidRPr="00E065CB">
        <w:rPr>
          <w:rFonts w:ascii="Arial" w:hAnsi="Arial" w:cs="Arial"/>
          <w:b/>
        </w:rPr>
        <w:t xml:space="preserve"> </w:t>
      </w:r>
      <w:r w:rsidRPr="00E065CB">
        <w:rPr>
          <w:rFonts w:ascii="Arial" w:hAnsi="Arial" w:cs="Arial"/>
        </w:rPr>
        <w:t xml:space="preserve">Vorapaxar or its vehicle control (saline) was administered daily by oral gavage to </w:t>
      </w:r>
      <w:proofErr w:type="spellStart"/>
      <w:r w:rsidRPr="00E065CB">
        <w:rPr>
          <w:rFonts w:ascii="Arial" w:hAnsi="Arial" w:cs="Arial"/>
        </w:rPr>
        <w:t>ob</w:t>
      </w:r>
      <w:proofErr w:type="spellEnd"/>
      <w:r w:rsidRPr="00E065CB">
        <w:rPr>
          <w:rFonts w:ascii="Arial" w:hAnsi="Arial" w:cs="Arial"/>
        </w:rPr>
        <w:t>/</w:t>
      </w:r>
      <w:proofErr w:type="spellStart"/>
      <w:r w:rsidRPr="00E065CB">
        <w:rPr>
          <w:rFonts w:ascii="Arial" w:hAnsi="Arial" w:cs="Arial"/>
        </w:rPr>
        <w:t>ob</w:t>
      </w:r>
      <w:proofErr w:type="spellEnd"/>
      <w:r w:rsidRPr="00E065CB">
        <w:rPr>
          <w:rFonts w:ascii="Arial" w:hAnsi="Arial" w:cs="Arial"/>
        </w:rPr>
        <w:t xml:space="preserve"> mice for 4 weeks before blood and liver tissue were harvested. Results are compared to age- and sex-matched lean </w:t>
      </w:r>
      <w:proofErr w:type="spellStart"/>
      <w:r w:rsidRPr="00E065CB">
        <w:rPr>
          <w:rFonts w:ascii="Arial" w:hAnsi="Arial" w:cs="Arial"/>
        </w:rPr>
        <w:t>ob</w:t>
      </w:r>
      <w:proofErr w:type="spellEnd"/>
      <w:r w:rsidRPr="00E065CB">
        <w:rPr>
          <w:rFonts w:ascii="Arial" w:hAnsi="Arial" w:cs="Arial"/>
        </w:rPr>
        <w:t xml:space="preserve">/+ littermate controls. </w:t>
      </w:r>
      <w:r w:rsidRPr="00E065CB">
        <w:rPr>
          <w:rFonts w:ascii="Arial" w:hAnsi="Arial" w:cs="Arial"/>
          <w:b/>
        </w:rPr>
        <w:t>(B)</w:t>
      </w:r>
      <w:r w:rsidRPr="00E065CB">
        <w:rPr>
          <w:rFonts w:ascii="Arial" w:hAnsi="Arial" w:cs="Arial"/>
        </w:rPr>
        <w:t xml:space="preserve"> Morphometric quantitation of liver sections stained for THBD and PAR1. </w:t>
      </w:r>
      <w:r w:rsidRPr="00E065CB">
        <w:rPr>
          <w:rFonts w:ascii="Arial" w:hAnsi="Arial" w:cs="Arial"/>
          <w:b/>
        </w:rPr>
        <w:t xml:space="preserve">(C) </w:t>
      </w:r>
      <w:r w:rsidRPr="00E065CB">
        <w:rPr>
          <w:rFonts w:ascii="Arial" w:hAnsi="Arial" w:cs="Arial"/>
          <w:bCs/>
        </w:rPr>
        <w:t>Liver weight.</w:t>
      </w:r>
      <w:r w:rsidRPr="00E065CB">
        <w:rPr>
          <w:rFonts w:ascii="Arial" w:hAnsi="Arial" w:cs="Arial"/>
        </w:rPr>
        <w:t xml:space="preserve"> Results shown as MEAN +/- SEM (n=6 mice/group, </w:t>
      </w:r>
      <w:r w:rsidR="0028443E" w:rsidRPr="00E065CB">
        <w:rPr>
          <w:rFonts w:ascii="Arial" w:hAnsi="Arial" w:cs="Arial"/>
        </w:rPr>
        <w:t xml:space="preserve">*p&lt;0.05 vs lean, </w:t>
      </w:r>
      <w:r w:rsidR="0028443E" w:rsidRPr="00E065CB">
        <w:rPr>
          <w:rFonts w:ascii="Arial" w:hAnsi="Arial" w:cs="Arial"/>
          <w:vertAlign w:val="superscript"/>
        </w:rPr>
        <w:t>#</w:t>
      </w:r>
      <w:r w:rsidR="0028443E" w:rsidRPr="00E065CB">
        <w:rPr>
          <w:rFonts w:ascii="Arial" w:hAnsi="Arial" w:cs="Arial"/>
        </w:rPr>
        <w:t xml:space="preserve">p&lt;0.05 vs </w:t>
      </w:r>
      <w:proofErr w:type="spellStart"/>
      <w:r w:rsidR="0028443E" w:rsidRPr="00E065CB">
        <w:rPr>
          <w:rFonts w:ascii="Arial" w:hAnsi="Arial" w:cs="Arial"/>
        </w:rPr>
        <w:t>ob</w:t>
      </w:r>
      <w:proofErr w:type="spellEnd"/>
      <w:r w:rsidR="0028443E" w:rsidRPr="00E065CB">
        <w:rPr>
          <w:rFonts w:ascii="Arial" w:hAnsi="Arial" w:cs="Arial"/>
        </w:rPr>
        <w:t>/</w:t>
      </w:r>
      <w:proofErr w:type="spellStart"/>
      <w:r w:rsidR="0028443E" w:rsidRPr="00E065CB">
        <w:rPr>
          <w:rFonts w:ascii="Arial" w:hAnsi="Arial" w:cs="Arial"/>
        </w:rPr>
        <w:t>ob</w:t>
      </w:r>
      <w:proofErr w:type="spellEnd"/>
      <w:r w:rsidR="0028443E" w:rsidRPr="00E065CB">
        <w:rPr>
          <w:rFonts w:ascii="Arial" w:hAnsi="Arial" w:cs="Arial"/>
        </w:rPr>
        <w:t xml:space="preserve"> vehicle</w:t>
      </w:r>
      <w:r w:rsidRPr="00E065CB">
        <w:rPr>
          <w:rFonts w:ascii="Arial" w:hAnsi="Arial" w:cs="Arial"/>
        </w:rPr>
        <w:t>).</w:t>
      </w:r>
    </w:p>
    <w:p w14:paraId="0531DAFA" w14:textId="77777777" w:rsidR="00981795" w:rsidRPr="00E065CB" w:rsidRDefault="00981795" w:rsidP="00981795">
      <w:pPr>
        <w:tabs>
          <w:tab w:val="num" w:pos="720"/>
        </w:tabs>
        <w:spacing w:line="360" w:lineRule="auto"/>
        <w:contextualSpacing/>
        <w:jc w:val="both"/>
        <w:rPr>
          <w:rFonts w:ascii="Arial" w:hAnsi="Arial" w:cs="Arial"/>
          <w:b/>
          <w:bCs/>
        </w:rPr>
      </w:pPr>
    </w:p>
    <w:p w14:paraId="4EA0FAE0" w14:textId="79E0EA31" w:rsidR="002730C1" w:rsidRPr="00E065CB" w:rsidRDefault="00F65AFD" w:rsidP="002730C1">
      <w:pPr>
        <w:spacing w:line="360" w:lineRule="auto"/>
        <w:jc w:val="both"/>
        <w:rPr>
          <w:rFonts w:ascii="Arial" w:hAnsi="Arial" w:cs="Arial"/>
        </w:rPr>
      </w:pPr>
      <w:r w:rsidRPr="00E065CB">
        <w:rPr>
          <w:rFonts w:ascii="Arial" w:hAnsi="Arial" w:cs="Arial"/>
          <w:b/>
          <w:bCs/>
        </w:rPr>
        <w:t xml:space="preserve">Supplementary Figure </w:t>
      </w:r>
      <w:r w:rsidR="002730C1" w:rsidRPr="00E065CB">
        <w:rPr>
          <w:rFonts w:ascii="Arial" w:hAnsi="Arial" w:cs="Arial"/>
          <w:b/>
          <w:bCs/>
        </w:rPr>
        <w:t>3</w:t>
      </w:r>
      <w:r w:rsidRPr="00E065CB">
        <w:rPr>
          <w:rFonts w:ascii="Arial" w:hAnsi="Arial" w:cs="Arial"/>
          <w:b/>
          <w:bCs/>
        </w:rPr>
        <w:t xml:space="preserve">. CDKN2A (P16) </w:t>
      </w:r>
      <w:r w:rsidRPr="00E065CB">
        <w:rPr>
          <w:rFonts w:ascii="Arial" w:hAnsi="Arial" w:cs="Arial"/>
          <w:b/>
          <w:bCs/>
          <w:i/>
          <w:iCs/>
        </w:rPr>
        <w:t>in vivo</w:t>
      </w:r>
      <w:r w:rsidRPr="00E065CB">
        <w:rPr>
          <w:rFonts w:ascii="Arial" w:hAnsi="Arial" w:cs="Arial"/>
          <w:b/>
          <w:bCs/>
        </w:rPr>
        <w:t xml:space="preserve"> overexpression </w:t>
      </w:r>
      <w:r w:rsidR="003A5889" w:rsidRPr="00E065CB">
        <w:rPr>
          <w:rFonts w:ascii="Arial" w:hAnsi="Arial" w:cs="Arial"/>
          <w:b/>
          <w:bCs/>
        </w:rPr>
        <w:t>induces senescence in hepatocytes</w:t>
      </w:r>
      <w:r w:rsidRPr="00E065CB">
        <w:rPr>
          <w:rFonts w:ascii="Arial" w:hAnsi="Arial" w:cs="Arial"/>
          <w:b/>
          <w:bCs/>
        </w:rPr>
        <w:t>.</w:t>
      </w:r>
      <w:r w:rsidR="00A756CB" w:rsidRPr="00E065CB">
        <w:rPr>
          <w:rFonts w:ascii="Arial" w:hAnsi="Arial" w:cs="Arial"/>
          <w:b/>
          <w:bCs/>
        </w:rPr>
        <w:t xml:space="preserve"> </w:t>
      </w:r>
      <w:r w:rsidR="002730C1" w:rsidRPr="00E065CB">
        <w:rPr>
          <w:rFonts w:ascii="Arial" w:hAnsi="Arial" w:cs="Arial"/>
          <w:b/>
          <w:bCs/>
        </w:rPr>
        <w:t xml:space="preserve">(A) </w:t>
      </w:r>
      <w:r w:rsidRPr="00E065CB">
        <w:rPr>
          <w:rFonts w:ascii="Arial" w:hAnsi="Arial" w:cs="Arial"/>
        </w:rPr>
        <w:t>AAV8-TBG-eGFP-P16 (P16) or its control</w:t>
      </w:r>
      <w:r w:rsidR="00A756CB" w:rsidRPr="00E065CB">
        <w:rPr>
          <w:rFonts w:ascii="Arial" w:hAnsi="Arial" w:cs="Arial"/>
        </w:rPr>
        <w:t xml:space="preserve"> vector</w:t>
      </w:r>
      <w:r w:rsidRPr="00E065CB">
        <w:rPr>
          <w:rFonts w:ascii="Arial" w:hAnsi="Arial" w:cs="Arial"/>
        </w:rPr>
        <w:t xml:space="preserve">, AAV8-TBG-eGFP (GFP), were administered </w:t>
      </w:r>
      <w:r w:rsidR="00A756CB" w:rsidRPr="00E065CB">
        <w:rPr>
          <w:rFonts w:ascii="Arial" w:hAnsi="Arial" w:cs="Arial"/>
        </w:rPr>
        <w:t>to</w:t>
      </w:r>
      <w:r w:rsidRPr="00E065CB">
        <w:rPr>
          <w:rFonts w:ascii="Arial" w:hAnsi="Arial" w:cs="Arial"/>
        </w:rPr>
        <w:t xml:space="preserve"> C57BL/6 wild-type mice </w:t>
      </w:r>
      <w:r w:rsidR="00A756CB" w:rsidRPr="00E065CB">
        <w:rPr>
          <w:rFonts w:ascii="Arial" w:hAnsi="Arial" w:cs="Arial"/>
        </w:rPr>
        <w:t>via</w:t>
      </w:r>
      <w:r w:rsidRPr="00E065CB">
        <w:rPr>
          <w:rFonts w:ascii="Arial" w:hAnsi="Arial" w:cs="Arial"/>
        </w:rPr>
        <w:t xml:space="preserve"> tail vein injection. </w:t>
      </w:r>
      <w:r w:rsidR="0028443E" w:rsidRPr="00E065CB">
        <w:rPr>
          <w:rFonts w:ascii="Arial" w:hAnsi="Arial" w:cs="Arial"/>
        </w:rPr>
        <w:t>GSEA of s</w:t>
      </w:r>
      <w:r w:rsidRPr="00E065CB">
        <w:rPr>
          <w:rFonts w:ascii="Arial" w:hAnsi="Arial" w:cs="Arial"/>
          <w:noProof/>
        </w:rPr>
        <w:t>enescence-related signaling signature</w:t>
      </w:r>
      <w:r w:rsidR="00981795" w:rsidRPr="00E065CB">
        <w:rPr>
          <w:rFonts w:ascii="Arial" w:hAnsi="Arial" w:cs="Arial"/>
          <w:noProof/>
        </w:rPr>
        <w:t>s</w:t>
      </w:r>
      <w:r w:rsidRPr="00E065CB">
        <w:rPr>
          <w:rFonts w:ascii="Arial" w:hAnsi="Arial" w:cs="Arial"/>
          <w:noProof/>
        </w:rPr>
        <w:t xml:space="preserve"> in P16 overexpressing hepatocytes </w:t>
      </w:r>
      <w:r w:rsidR="00A756CB" w:rsidRPr="00E065CB">
        <w:rPr>
          <w:rFonts w:ascii="Arial" w:hAnsi="Arial" w:cs="Arial"/>
          <w:noProof/>
        </w:rPr>
        <w:t>versus</w:t>
      </w:r>
      <w:r w:rsidRPr="00E065CB">
        <w:rPr>
          <w:rFonts w:ascii="Arial" w:hAnsi="Arial" w:cs="Arial"/>
          <w:noProof/>
        </w:rPr>
        <w:t xml:space="preserve"> </w:t>
      </w:r>
      <w:r w:rsidR="00A756CB" w:rsidRPr="00E065CB">
        <w:rPr>
          <w:rFonts w:ascii="Arial" w:hAnsi="Arial" w:cs="Arial"/>
          <w:noProof/>
        </w:rPr>
        <w:t xml:space="preserve"> controls</w:t>
      </w:r>
      <w:r w:rsidRPr="00E065CB">
        <w:rPr>
          <w:rFonts w:ascii="Arial" w:hAnsi="Arial" w:cs="Arial"/>
        </w:rPr>
        <w:t xml:space="preserve">. </w:t>
      </w:r>
      <w:r w:rsidR="0028443E" w:rsidRPr="00E065CB">
        <w:rPr>
          <w:rFonts w:ascii="Arial" w:hAnsi="Arial" w:cs="Arial"/>
          <w:b/>
          <w:bCs/>
        </w:rPr>
        <w:t>(B)</w:t>
      </w:r>
      <w:r w:rsidR="0028443E" w:rsidRPr="00E065CB">
        <w:rPr>
          <w:rFonts w:ascii="Arial" w:hAnsi="Arial" w:cs="Arial"/>
        </w:rPr>
        <w:t xml:space="preserve"> </w:t>
      </w:r>
      <w:r w:rsidR="002730C1" w:rsidRPr="00E065CB">
        <w:rPr>
          <w:rFonts w:ascii="Arial" w:hAnsi="Arial" w:cs="Arial"/>
        </w:rPr>
        <w:t>Vorapaxar or its vehicle control (saline) was administered daily by oral gavage to WD+CCl</w:t>
      </w:r>
      <w:r w:rsidR="002730C1" w:rsidRPr="00E065CB">
        <w:rPr>
          <w:rFonts w:ascii="Arial" w:hAnsi="Arial" w:cs="Arial"/>
          <w:vertAlign w:val="subscript"/>
        </w:rPr>
        <w:t>4</w:t>
      </w:r>
      <w:r w:rsidR="002730C1" w:rsidRPr="00E065CB">
        <w:rPr>
          <w:rFonts w:ascii="Arial" w:hAnsi="Arial" w:cs="Arial"/>
        </w:rPr>
        <w:t xml:space="preserve"> mice during the last 4 weeks of diet. senescence marker P21 was assessed </w:t>
      </w:r>
      <w:proofErr w:type="gramStart"/>
      <w:r w:rsidR="002730C1" w:rsidRPr="00E065CB">
        <w:rPr>
          <w:rFonts w:ascii="Arial" w:hAnsi="Arial" w:cs="Arial"/>
        </w:rPr>
        <w:t>by</w:t>
      </w:r>
      <w:proofErr w:type="gramEnd"/>
      <w:r w:rsidR="002730C1" w:rsidRPr="00E065CB">
        <w:rPr>
          <w:rFonts w:ascii="Arial" w:hAnsi="Arial" w:cs="Arial"/>
        </w:rPr>
        <w:t xml:space="preserve"> or densitometry of liver immunoblots. Results shown as MEAN +/- SEM (n=</w:t>
      </w:r>
      <w:r w:rsidR="0028443E" w:rsidRPr="00E065CB">
        <w:rPr>
          <w:rFonts w:ascii="Arial" w:hAnsi="Arial" w:cs="Arial"/>
        </w:rPr>
        <w:t xml:space="preserve">4 </w:t>
      </w:r>
      <w:r w:rsidR="002730C1" w:rsidRPr="00E065CB">
        <w:rPr>
          <w:rFonts w:ascii="Arial" w:hAnsi="Arial" w:cs="Arial"/>
        </w:rPr>
        <w:t>mice</w:t>
      </w:r>
      <w:r w:rsidR="0028443E" w:rsidRPr="00E065CB">
        <w:rPr>
          <w:rFonts w:ascii="Arial" w:hAnsi="Arial" w:cs="Arial"/>
        </w:rPr>
        <w:t xml:space="preserve"> in CDCO (chow diet plus corn oil vehicle) group,</w:t>
      </w:r>
      <w:r w:rsidR="002730C1" w:rsidRPr="00E065CB">
        <w:rPr>
          <w:rFonts w:ascii="Arial" w:hAnsi="Arial" w:cs="Arial"/>
        </w:rPr>
        <w:t xml:space="preserve"> </w:t>
      </w:r>
      <w:r w:rsidR="0028443E" w:rsidRPr="00E065CB">
        <w:rPr>
          <w:rFonts w:ascii="Arial" w:hAnsi="Arial" w:cs="Arial"/>
        </w:rPr>
        <w:t xml:space="preserve">n=10 mice in WD+CCl4 groups, *p&lt;0.05 vs CDCO, </w:t>
      </w:r>
      <w:r w:rsidR="0028443E" w:rsidRPr="00E065CB">
        <w:rPr>
          <w:rFonts w:ascii="Arial" w:hAnsi="Arial" w:cs="Arial"/>
          <w:vertAlign w:val="superscript"/>
        </w:rPr>
        <w:t>#</w:t>
      </w:r>
      <w:r w:rsidR="0028443E" w:rsidRPr="00E065CB">
        <w:rPr>
          <w:rFonts w:ascii="Arial" w:hAnsi="Arial" w:cs="Arial"/>
        </w:rPr>
        <w:t xml:space="preserve">p&lt;0.05 vs WD+CCl4 </w:t>
      </w:r>
      <w:proofErr w:type="gramStart"/>
      <w:r w:rsidR="0028443E" w:rsidRPr="00E065CB">
        <w:rPr>
          <w:rFonts w:ascii="Arial" w:hAnsi="Arial" w:cs="Arial"/>
        </w:rPr>
        <w:t>vehicle</w:t>
      </w:r>
      <w:r w:rsidR="0028443E" w:rsidRPr="00E065CB" w:rsidDel="0028443E">
        <w:rPr>
          <w:rFonts w:ascii="Arial" w:hAnsi="Arial" w:cs="Arial"/>
        </w:rPr>
        <w:t xml:space="preserve"> </w:t>
      </w:r>
      <w:r w:rsidR="002730C1" w:rsidRPr="00E065CB">
        <w:rPr>
          <w:rFonts w:ascii="Arial" w:hAnsi="Arial" w:cs="Arial"/>
        </w:rPr>
        <w:t>)</w:t>
      </w:r>
      <w:proofErr w:type="gramEnd"/>
      <w:r w:rsidR="002730C1" w:rsidRPr="00E065CB">
        <w:rPr>
          <w:rFonts w:ascii="Arial" w:hAnsi="Arial" w:cs="Arial"/>
        </w:rPr>
        <w:t>.</w:t>
      </w:r>
    </w:p>
    <w:p w14:paraId="50040A0A" w14:textId="10C53965" w:rsidR="00F65AFD" w:rsidRPr="00E065CB" w:rsidRDefault="00F65AFD" w:rsidP="00981795">
      <w:pPr>
        <w:tabs>
          <w:tab w:val="num" w:pos="720"/>
        </w:tabs>
        <w:spacing w:line="360" w:lineRule="auto"/>
        <w:contextualSpacing/>
        <w:jc w:val="both"/>
        <w:rPr>
          <w:rFonts w:ascii="Arial" w:hAnsi="Arial" w:cs="Arial"/>
          <w:noProof/>
        </w:rPr>
      </w:pPr>
    </w:p>
    <w:p w14:paraId="110341F3" w14:textId="77777777" w:rsidR="0037379C" w:rsidRPr="00E065CB" w:rsidRDefault="0037379C" w:rsidP="00981795">
      <w:pPr>
        <w:tabs>
          <w:tab w:val="num" w:pos="720"/>
        </w:tabs>
        <w:spacing w:line="360" w:lineRule="auto"/>
        <w:contextualSpacing/>
        <w:jc w:val="both"/>
        <w:rPr>
          <w:rFonts w:ascii="Arial" w:hAnsi="Arial" w:cs="Arial"/>
          <w:noProof/>
        </w:rPr>
      </w:pPr>
    </w:p>
    <w:p w14:paraId="08028DFA" w14:textId="77777777" w:rsidR="0037379C" w:rsidRPr="00E065CB" w:rsidRDefault="0037379C" w:rsidP="00981795">
      <w:pPr>
        <w:tabs>
          <w:tab w:val="num" w:pos="720"/>
        </w:tabs>
        <w:spacing w:line="360" w:lineRule="auto"/>
        <w:contextualSpacing/>
        <w:jc w:val="both"/>
        <w:rPr>
          <w:rFonts w:ascii="Arial" w:hAnsi="Arial" w:cs="Arial"/>
          <w:noProof/>
        </w:rPr>
      </w:pPr>
    </w:p>
    <w:p w14:paraId="50700C35" w14:textId="77777777" w:rsidR="0037379C" w:rsidRPr="00E065CB" w:rsidRDefault="0037379C" w:rsidP="00981795">
      <w:pPr>
        <w:tabs>
          <w:tab w:val="num" w:pos="720"/>
        </w:tabs>
        <w:spacing w:line="360" w:lineRule="auto"/>
        <w:contextualSpacing/>
        <w:jc w:val="both"/>
        <w:rPr>
          <w:rFonts w:ascii="Arial" w:hAnsi="Arial" w:cs="Arial"/>
          <w:noProof/>
        </w:rPr>
      </w:pPr>
    </w:p>
    <w:p w14:paraId="137FE658" w14:textId="77777777" w:rsidR="00C076B1" w:rsidRPr="00E065CB" w:rsidRDefault="00C076B1" w:rsidP="00981795">
      <w:pPr>
        <w:spacing w:line="360" w:lineRule="auto"/>
        <w:rPr>
          <w:rFonts w:ascii="Arial" w:hAnsi="Arial" w:cs="Arial"/>
          <w:b/>
          <w:bCs/>
        </w:rPr>
      </w:pPr>
      <w:r w:rsidRPr="00E065CB">
        <w:rPr>
          <w:rFonts w:ascii="Arial" w:hAnsi="Arial" w:cs="Arial"/>
          <w:b/>
          <w:bCs/>
        </w:rPr>
        <w:t>Tables</w:t>
      </w:r>
    </w:p>
    <w:p w14:paraId="2CB47558" w14:textId="77777777" w:rsidR="00C076B1" w:rsidRPr="00E065CB" w:rsidRDefault="00C076B1" w:rsidP="00981795">
      <w:pPr>
        <w:spacing w:line="360" w:lineRule="auto"/>
        <w:rPr>
          <w:rFonts w:ascii="Arial" w:hAnsi="Arial" w:cs="Arial"/>
          <w:b/>
          <w:bCs/>
        </w:rPr>
      </w:pPr>
      <w:r w:rsidRPr="00E065CB">
        <w:rPr>
          <w:rFonts w:ascii="Arial" w:hAnsi="Arial" w:cs="Arial"/>
          <w:b/>
          <w:bCs/>
        </w:rPr>
        <w:t xml:space="preserve">Supplementary Table 1: </w:t>
      </w:r>
      <w:r w:rsidRPr="00E065CB">
        <w:rPr>
          <w:rFonts w:ascii="Arial" w:hAnsi="Arial" w:cs="Arial"/>
        </w:rPr>
        <w:t>Patient characteristics.</w:t>
      </w:r>
    </w:p>
    <w:tbl>
      <w:tblPr>
        <w:tblpPr w:leftFromText="180" w:rightFromText="180" w:vertAnchor="text" w:horzAnchor="margin" w:tblpXSpec="center" w:tblpY="174"/>
        <w:tblW w:w="5000" w:type="pct"/>
        <w:tblCellMar>
          <w:left w:w="0" w:type="dxa"/>
          <w:right w:w="0" w:type="dxa"/>
        </w:tblCellMar>
        <w:tblLook w:val="0420" w:firstRow="1" w:lastRow="0" w:firstColumn="0" w:lastColumn="0" w:noHBand="0" w:noVBand="1"/>
      </w:tblPr>
      <w:tblGrid>
        <w:gridCol w:w="3568"/>
        <w:gridCol w:w="2259"/>
        <w:gridCol w:w="2268"/>
        <w:gridCol w:w="1255"/>
      </w:tblGrid>
      <w:tr w:rsidR="00E065CB" w:rsidRPr="00E065CB" w14:paraId="05FA4AAF" w14:textId="77777777" w:rsidTr="00753969">
        <w:trPr>
          <w:trHeight w:val="548"/>
        </w:trPr>
        <w:tc>
          <w:tcPr>
            <w:tcW w:w="1908" w:type="pct"/>
            <w:tcBorders>
              <w:top w:val="single" w:sz="4" w:space="0" w:color="A5A5A5"/>
              <w:left w:val="single" w:sz="4" w:space="0" w:color="A5A5A5"/>
              <w:bottom w:val="single" w:sz="4" w:space="0" w:color="A5A5A5"/>
              <w:right w:val="nil"/>
            </w:tcBorders>
            <w:shd w:val="clear" w:color="auto" w:fill="B4C7E7"/>
            <w:tcMar>
              <w:top w:w="72" w:type="dxa"/>
              <w:left w:w="144" w:type="dxa"/>
              <w:bottom w:w="72" w:type="dxa"/>
              <w:right w:w="144" w:type="dxa"/>
            </w:tcMar>
            <w:hideMark/>
          </w:tcPr>
          <w:p w14:paraId="22066D5D" w14:textId="77777777" w:rsidR="00C076B1" w:rsidRPr="00E065CB" w:rsidRDefault="00C076B1" w:rsidP="00753969">
            <w:pPr>
              <w:spacing w:after="160" w:line="259" w:lineRule="auto"/>
              <w:rPr>
                <w:rFonts w:ascii="Arial" w:hAnsi="Arial" w:cs="Arial"/>
                <w:b/>
                <w:bCs/>
                <w:sz w:val="20"/>
                <w:szCs w:val="20"/>
              </w:rPr>
            </w:pPr>
          </w:p>
        </w:tc>
        <w:tc>
          <w:tcPr>
            <w:tcW w:w="1208" w:type="pct"/>
            <w:tcBorders>
              <w:top w:val="single" w:sz="4" w:space="0" w:color="A5A5A5"/>
              <w:left w:val="nil"/>
              <w:bottom w:val="single" w:sz="4" w:space="0" w:color="A5A5A5"/>
              <w:right w:val="nil"/>
            </w:tcBorders>
            <w:shd w:val="clear" w:color="auto" w:fill="B4C7E7"/>
            <w:tcMar>
              <w:top w:w="72" w:type="dxa"/>
              <w:left w:w="144" w:type="dxa"/>
              <w:bottom w:w="72" w:type="dxa"/>
              <w:right w:w="144" w:type="dxa"/>
            </w:tcMar>
            <w:hideMark/>
          </w:tcPr>
          <w:p w14:paraId="6B9E4BB2" w14:textId="5AE91E69"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NAFLD Cohort (n=5)</w:t>
            </w:r>
          </w:p>
        </w:tc>
        <w:tc>
          <w:tcPr>
            <w:tcW w:w="1213" w:type="pct"/>
            <w:tcBorders>
              <w:top w:val="single" w:sz="4" w:space="0" w:color="A5A5A5"/>
              <w:left w:val="nil"/>
              <w:bottom w:val="single" w:sz="4" w:space="0" w:color="A5A5A5"/>
              <w:right w:val="nil"/>
            </w:tcBorders>
            <w:shd w:val="clear" w:color="auto" w:fill="B4C7E7"/>
            <w:tcMar>
              <w:top w:w="72" w:type="dxa"/>
              <w:left w:w="144" w:type="dxa"/>
              <w:bottom w:w="72" w:type="dxa"/>
              <w:right w:w="144" w:type="dxa"/>
            </w:tcMar>
            <w:hideMark/>
          </w:tcPr>
          <w:p w14:paraId="32CACD5F"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NASH Cohort (n=10)</w:t>
            </w:r>
          </w:p>
        </w:tc>
        <w:tc>
          <w:tcPr>
            <w:tcW w:w="671" w:type="pct"/>
            <w:tcBorders>
              <w:top w:val="single" w:sz="4" w:space="0" w:color="A5A5A5"/>
              <w:left w:val="nil"/>
              <w:bottom w:val="single" w:sz="4" w:space="0" w:color="A5A5A5"/>
              <w:right w:val="single" w:sz="4" w:space="0" w:color="A5A5A5"/>
            </w:tcBorders>
            <w:shd w:val="clear" w:color="auto" w:fill="B4C7E7"/>
            <w:tcMar>
              <w:top w:w="72" w:type="dxa"/>
              <w:left w:w="144" w:type="dxa"/>
              <w:bottom w:w="72" w:type="dxa"/>
              <w:right w:w="144" w:type="dxa"/>
            </w:tcMar>
            <w:hideMark/>
          </w:tcPr>
          <w:p w14:paraId="293589F5"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p-value</w:t>
            </w:r>
          </w:p>
        </w:tc>
      </w:tr>
      <w:tr w:rsidR="00E065CB" w:rsidRPr="00E065CB" w14:paraId="4A75FCDC"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6E0FC468"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Gender (% Female)</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6DEEC9C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60%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7CBEFA9A"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50%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45A0F22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42A4BD94"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2B725D17"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Race (%)</w:t>
            </w:r>
          </w:p>
        </w:tc>
        <w:tc>
          <w:tcPr>
            <w:tcW w:w="1208" w:type="pct"/>
            <w:tcBorders>
              <w:top w:val="single" w:sz="4" w:space="0" w:color="A5A5A5"/>
              <w:left w:val="nil"/>
              <w:bottom w:val="single" w:sz="4" w:space="0" w:color="A5A5A5"/>
              <w:right w:val="nil"/>
            </w:tcBorders>
            <w:shd w:val="clear" w:color="auto" w:fill="EDEDED"/>
            <w:tcMar>
              <w:top w:w="72" w:type="dxa"/>
              <w:left w:w="144" w:type="dxa"/>
              <w:bottom w:w="72" w:type="dxa"/>
              <w:right w:w="144" w:type="dxa"/>
            </w:tcMar>
            <w:hideMark/>
          </w:tcPr>
          <w:p w14:paraId="5D69F4AD" w14:textId="77777777" w:rsidR="00C076B1" w:rsidRPr="00E065CB" w:rsidRDefault="00C076B1" w:rsidP="00753969">
            <w:pPr>
              <w:spacing w:after="160" w:line="259" w:lineRule="auto"/>
              <w:rPr>
                <w:rFonts w:ascii="Arial" w:hAnsi="Arial" w:cs="Arial"/>
                <w:sz w:val="20"/>
                <w:szCs w:val="20"/>
              </w:rPr>
            </w:pPr>
          </w:p>
        </w:tc>
        <w:tc>
          <w:tcPr>
            <w:tcW w:w="1213" w:type="pct"/>
            <w:tcBorders>
              <w:top w:val="single" w:sz="4" w:space="0" w:color="A5A5A5"/>
              <w:left w:val="nil"/>
              <w:bottom w:val="single" w:sz="4" w:space="0" w:color="A5A5A5"/>
              <w:right w:val="nil"/>
            </w:tcBorders>
            <w:shd w:val="clear" w:color="auto" w:fill="EDEDED"/>
            <w:tcMar>
              <w:top w:w="72" w:type="dxa"/>
              <w:left w:w="144" w:type="dxa"/>
              <w:bottom w:w="72" w:type="dxa"/>
              <w:right w:w="144" w:type="dxa"/>
            </w:tcMar>
            <w:hideMark/>
          </w:tcPr>
          <w:p w14:paraId="44DC68F7" w14:textId="77777777" w:rsidR="00C076B1" w:rsidRPr="00E065CB" w:rsidRDefault="00C076B1" w:rsidP="00753969">
            <w:pPr>
              <w:spacing w:after="160" w:line="259" w:lineRule="auto"/>
              <w:rPr>
                <w:rFonts w:ascii="Arial" w:hAnsi="Arial" w:cs="Arial"/>
                <w:sz w:val="20"/>
                <w:szCs w:val="20"/>
              </w:rPr>
            </w:pPr>
          </w:p>
        </w:tc>
        <w:tc>
          <w:tcPr>
            <w:tcW w:w="671" w:type="pct"/>
            <w:tcBorders>
              <w:top w:val="single" w:sz="4" w:space="0" w:color="A5A5A5"/>
              <w:left w:val="nil"/>
              <w:bottom w:val="single" w:sz="4" w:space="0" w:color="A5A5A5"/>
              <w:right w:val="single" w:sz="4" w:space="0" w:color="A5A5A5"/>
            </w:tcBorders>
            <w:shd w:val="clear" w:color="auto" w:fill="EDEDED"/>
            <w:tcMar>
              <w:top w:w="72" w:type="dxa"/>
              <w:left w:w="144" w:type="dxa"/>
              <w:bottom w:w="72" w:type="dxa"/>
              <w:right w:w="144" w:type="dxa"/>
            </w:tcMar>
            <w:hideMark/>
          </w:tcPr>
          <w:p w14:paraId="56B39695" w14:textId="77777777" w:rsidR="00C076B1" w:rsidRPr="00E065CB" w:rsidRDefault="00C076B1" w:rsidP="00753969">
            <w:pPr>
              <w:spacing w:after="160" w:line="259" w:lineRule="auto"/>
              <w:rPr>
                <w:rFonts w:ascii="Arial" w:hAnsi="Arial" w:cs="Arial"/>
                <w:sz w:val="20"/>
                <w:szCs w:val="20"/>
              </w:rPr>
            </w:pPr>
          </w:p>
        </w:tc>
      </w:tr>
      <w:tr w:rsidR="00E065CB" w:rsidRPr="00E065CB" w14:paraId="34720BC6"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45099C6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White</w:t>
            </w:r>
          </w:p>
          <w:p w14:paraId="1CC0DEE7"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Black</w:t>
            </w:r>
          </w:p>
          <w:p w14:paraId="2E33F718"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sz w:val="20"/>
                <w:szCs w:val="20"/>
              </w:rPr>
              <w:t>Unknown</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1A9B2FE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80%</w:t>
            </w:r>
          </w:p>
          <w:p w14:paraId="4E88B49D"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20%</w:t>
            </w:r>
          </w:p>
          <w:p w14:paraId="6D85B7C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3DE78DAE"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80%</w:t>
            </w:r>
          </w:p>
          <w:p w14:paraId="77331DF4"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w:t>
            </w:r>
          </w:p>
          <w:p w14:paraId="7F11205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4F135A0A"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52347BA6"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163A721D"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Age</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5B388B7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52.8 ± 3.01</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234A3DC7"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52.5 ± 1.96</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7230B8F5"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1934ED3B"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427877D4"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BMI</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2299E8C4"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35.15 ± 1.47</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05837E8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37.72 ± 1.18</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20989911"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32F73100"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1E7DB1EC"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Diabetes (%)</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571F7B2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20%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6DC39D5E"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40%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04790D1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7F815540"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501F8F16"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Hyperlipidemia (%)</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65C120C6"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80%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3D132758"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50%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22D92586"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603F9127"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1FB074B5"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Hypertension (%)</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4F7A125A"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191EF54B"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70%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53B4F59E"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&gt; 0.2</w:t>
            </w:r>
          </w:p>
        </w:tc>
      </w:tr>
      <w:tr w:rsidR="00E065CB" w:rsidRPr="00E065CB" w14:paraId="61AB73A4"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01B06E72"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Brunt Fibrosis Stage (%)</w:t>
            </w:r>
          </w:p>
        </w:tc>
        <w:tc>
          <w:tcPr>
            <w:tcW w:w="1208" w:type="pct"/>
            <w:tcBorders>
              <w:top w:val="single" w:sz="4" w:space="0" w:color="A5A5A5"/>
              <w:left w:val="nil"/>
              <w:bottom w:val="single" w:sz="4" w:space="0" w:color="A5A5A5"/>
              <w:right w:val="nil"/>
            </w:tcBorders>
            <w:shd w:val="clear" w:color="auto" w:fill="EDEDED"/>
            <w:tcMar>
              <w:top w:w="72" w:type="dxa"/>
              <w:left w:w="144" w:type="dxa"/>
              <w:bottom w:w="72" w:type="dxa"/>
              <w:right w:w="144" w:type="dxa"/>
            </w:tcMar>
            <w:hideMark/>
          </w:tcPr>
          <w:p w14:paraId="6889C6C1" w14:textId="77777777" w:rsidR="00C076B1" w:rsidRPr="00E065CB" w:rsidRDefault="00C076B1" w:rsidP="00753969">
            <w:pPr>
              <w:spacing w:after="160" w:line="259" w:lineRule="auto"/>
              <w:rPr>
                <w:rFonts w:ascii="Arial" w:hAnsi="Arial" w:cs="Arial"/>
                <w:sz w:val="20"/>
                <w:szCs w:val="20"/>
              </w:rPr>
            </w:pPr>
          </w:p>
        </w:tc>
        <w:tc>
          <w:tcPr>
            <w:tcW w:w="1213" w:type="pct"/>
            <w:tcBorders>
              <w:top w:val="single" w:sz="4" w:space="0" w:color="A5A5A5"/>
              <w:left w:val="nil"/>
              <w:bottom w:val="single" w:sz="4" w:space="0" w:color="A5A5A5"/>
              <w:right w:val="nil"/>
            </w:tcBorders>
            <w:shd w:val="clear" w:color="auto" w:fill="EDEDED"/>
            <w:tcMar>
              <w:top w:w="72" w:type="dxa"/>
              <w:left w:w="144" w:type="dxa"/>
              <w:bottom w:w="72" w:type="dxa"/>
              <w:right w:w="144" w:type="dxa"/>
            </w:tcMar>
            <w:hideMark/>
          </w:tcPr>
          <w:p w14:paraId="089AD4ED" w14:textId="77777777" w:rsidR="00C076B1" w:rsidRPr="00E065CB" w:rsidRDefault="00C076B1" w:rsidP="00753969">
            <w:pPr>
              <w:spacing w:after="160" w:line="259" w:lineRule="auto"/>
              <w:rPr>
                <w:rFonts w:ascii="Arial" w:hAnsi="Arial" w:cs="Arial"/>
                <w:sz w:val="20"/>
                <w:szCs w:val="20"/>
              </w:rPr>
            </w:pPr>
          </w:p>
        </w:tc>
        <w:tc>
          <w:tcPr>
            <w:tcW w:w="671" w:type="pct"/>
            <w:tcBorders>
              <w:top w:val="single" w:sz="4" w:space="0" w:color="A5A5A5"/>
              <w:left w:val="nil"/>
              <w:bottom w:val="single" w:sz="4" w:space="0" w:color="A5A5A5"/>
              <w:right w:val="single" w:sz="4" w:space="0" w:color="A5A5A5"/>
            </w:tcBorders>
            <w:shd w:val="clear" w:color="auto" w:fill="EDEDED"/>
            <w:tcMar>
              <w:top w:w="72" w:type="dxa"/>
              <w:left w:w="144" w:type="dxa"/>
              <w:bottom w:w="72" w:type="dxa"/>
              <w:right w:w="144" w:type="dxa"/>
            </w:tcMar>
            <w:hideMark/>
          </w:tcPr>
          <w:p w14:paraId="36E7476A" w14:textId="77777777" w:rsidR="00C076B1" w:rsidRPr="00E065CB" w:rsidRDefault="00C076B1" w:rsidP="00753969">
            <w:pPr>
              <w:spacing w:after="160" w:line="259" w:lineRule="auto"/>
              <w:rPr>
                <w:rFonts w:ascii="Arial" w:hAnsi="Arial" w:cs="Arial"/>
                <w:sz w:val="20"/>
                <w:szCs w:val="20"/>
              </w:rPr>
            </w:pPr>
          </w:p>
        </w:tc>
      </w:tr>
      <w:tr w:rsidR="00E065CB" w:rsidRPr="00E065CB" w14:paraId="54E85D3D"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09803505"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167EBD8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w:t>
            </w:r>
          </w:p>
          <w:p w14:paraId="1739030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2</w:t>
            </w:r>
          </w:p>
          <w:p w14:paraId="01355B51"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3</w:t>
            </w:r>
          </w:p>
          <w:p w14:paraId="76FCE201"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sz w:val="20"/>
                <w:szCs w:val="20"/>
              </w:rPr>
              <w:t>4</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5E77275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100%</w:t>
            </w:r>
          </w:p>
          <w:p w14:paraId="1C2C2379"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645992A6"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5B5BE54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6F7717F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46DEB299"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68767205"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50%</w:t>
            </w:r>
          </w:p>
          <w:p w14:paraId="23010CE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w:t>
            </w:r>
          </w:p>
          <w:p w14:paraId="7A57A5CB"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30%</w:t>
            </w:r>
          </w:p>
          <w:p w14:paraId="0F805456"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493016D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&lt; 0.0001</w:t>
            </w:r>
          </w:p>
        </w:tc>
      </w:tr>
      <w:tr w:rsidR="00E065CB" w:rsidRPr="00E065CB" w14:paraId="689C1C2E" w14:textId="77777777" w:rsidTr="00753969">
        <w:trPr>
          <w:trHeight w:val="432"/>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714DDD07"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NAS Score (%)</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532536A6" w14:textId="77777777" w:rsidR="00C076B1" w:rsidRPr="00E065CB" w:rsidRDefault="00C076B1" w:rsidP="00753969">
            <w:pPr>
              <w:spacing w:after="160" w:line="259" w:lineRule="auto"/>
              <w:rPr>
                <w:rFonts w:ascii="Arial" w:hAnsi="Arial" w:cs="Arial"/>
                <w:sz w:val="20"/>
                <w:szCs w:val="20"/>
              </w:rPr>
            </w:pP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55AE67BA" w14:textId="77777777" w:rsidR="00C076B1" w:rsidRPr="00E065CB" w:rsidRDefault="00C076B1" w:rsidP="00753969">
            <w:pPr>
              <w:spacing w:after="160" w:line="259" w:lineRule="auto"/>
              <w:rPr>
                <w:rFonts w:ascii="Arial" w:hAnsi="Arial" w:cs="Arial"/>
                <w:sz w:val="20"/>
                <w:szCs w:val="20"/>
              </w:rPr>
            </w:pP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1ECE3A37" w14:textId="77777777" w:rsidR="00C076B1" w:rsidRPr="00E065CB" w:rsidRDefault="00C076B1" w:rsidP="00753969">
            <w:pPr>
              <w:spacing w:after="160" w:line="259" w:lineRule="auto"/>
              <w:rPr>
                <w:rFonts w:ascii="Arial" w:hAnsi="Arial" w:cs="Arial"/>
                <w:sz w:val="20"/>
                <w:szCs w:val="20"/>
              </w:rPr>
            </w:pPr>
          </w:p>
        </w:tc>
      </w:tr>
      <w:tr w:rsidR="00E065CB" w:rsidRPr="00E065CB" w14:paraId="52680C93" w14:textId="77777777" w:rsidTr="00753969">
        <w:trPr>
          <w:trHeight w:val="26"/>
        </w:trPr>
        <w:tc>
          <w:tcPr>
            <w:tcW w:w="1908" w:type="pct"/>
            <w:tcBorders>
              <w:top w:val="single" w:sz="4" w:space="0" w:color="A5A5A5"/>
              <w:left w:val="single" w:sz="4" w:space="0" w:color="A5A5A5"/>
              <w:bottom w:val="single" w:sz="4" w:space="0" w:color="A5A5A5"/>
              <w:right w:val="nil"/>
            </w:tcBorders>
            <w:shd w:val="clear" w:color="auto" w:fill="auto"/>
            <w:tcMar>
              <w:top w:w="72" w:type="dxa"/>
              <w:left w:w="144" w:type="dxa"/>
              <w:bottom w:w="72" w:type="dxa"/>
              <w:right w:w="144" w:type="dxa"/>
            </w:tcMar>
            <w:hideMark/>
          </w:tcPr>
          <w:p w14:paraId="47F2068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 3</w:t>
            </w:r>
          </w:p>
          <w:p w14:paraId="2AF024A8"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4</w:t>
            </w:r>
          </w:p>
          <w:p w14:paraId="59BB17C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5</w:t>
            </w:r>
          </w:p>
          <w:p w14:paraId="798CD3F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6</w:t>
            </w:r>
          </w:p>
        </w:tc>
        <w:tc>
          <w:tcPr>
            <w:tcW w:w="1208"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2AAD537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100%</w:t>
            </w:r>
          </w:p>
          <w:p w14:paraId="566721A4"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4D8279A1"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p w14:paraId="2180E24B"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w:t>
            </w:r>
          </w:p>
        </w:tc>
        <w:tc>
          <w:tcPr>
            <w:tcW w:w="1213" w:type="pct"/>
            <w:tcBorders>
              <w:top w:val="single" w:sz="4" w:space="0" w:color="A5A5A5"/>
              <w:left w:val="nil"/>
              <w:bottom w:val="single" w:sz="4" w:space="0" w:color="A5A5A5"/>
              <w:right w:val="nil"/>
            </w:tcBorders>
            <w:shd w:val="clear" w:color="auto" w:fill="auto"/>
            <w:tcMar>
              <w:top w:w="72" w:type="dxa"/>
              <w:left w:w="144" w:type="dxa"/>
              <w:bottom w:w="72" w:type="dxa"/>
              <w:right w:w="144" w:type="dxa"/>
            </w:tcMar>
            <w:hideMark/>
          </w:tcPr>
          <w:p w14:paraId="687611B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20%</w:t>
            </w:r>
          </w:p>
          <w:p w14:paraId="149180DB"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30%</w:t>
            </w:r>
          </w:p>
          <w:p w14:paraId="2D0904F6"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40%</w:t>
            </w:r>
          </w:p>
          <w:p w14:paraId="4E101C1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10%</w:t>
            </w:r>
          </w:p>
        </w:tc>
        <w:tc>
          <w:tcPr>
            <w:tcW w:w="671" w:type="pct"/>
            <w:tcBorders>
              <w:top w:val="single" w:sz="4" w:space="0" w:color="A5A5A5"/>
              <w:left w:val="nil"/>
              <w:bottom w:val="single" w:sz="4" w:space="0" w:color="A5A5A5"/>
              <w:right w:val="single" w:sz="4" w:space="0" w:color="A5A5A5"/>
            </w:tcBorders>
            <w:shd w:val="clear" w:color="auto" w:fill="auto"/>
            <w:tcMar>
              <w:top w:w="72" w:type="dxa"/>
              <w:left w:w="144" w:type="dxa"/>
              <w:bottom w:w="72" w:type="dxa"/>
              <w:right w:w="144" w:type="dxa"/>
            </w:tcMar>
            <w:hideMark/>
          </w:tcPr>
          <w:p w14:paraId="5B11BC0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0.001</w:t>
            </w:r>
          </w:p>
        </w:tc>
      </w:tr>
    </w:tbl>
    <w:p w14:paraId="7CB732AC" w14:textId="77777777" w:rsidR="00C076B1" w:rsidRPr="00E065CB" w:rsidRDefault="00C076B1" w:rsidP="00C076B1">
      <w:pPr>
        <w:spacing w:after="160" w:line="259" w:lineRule="auto"/>
        <w:rPr>
          <w:rFonts w:ascii="Arial" w:hAnsi="Arial" w:cs="Arial"/>
          <w:b/>
          <w:bCs/>
        </w:rPr>
      </w:pPr>
      <w:r w:rsidRPr="00E065CB">
        <w:rPr>
          <w:rFonts w:ascii="Arial" w:hAnsi="Arial" w:cs="Arial"/>
          <w:b/>
          <w:bCs/>
        </w:rPr>
        <w:t xml:space="preserve"> </w:t>
      </w:r>
    </w:p>
    <w:p w14:paraId="3CAC09B3" w14:textId="5E72211D" w:rsidR="00C076B1" w:rsidRPr="00E065CB" w:rsidRDefault="00C076B1" w:rsidP="00C076B1">
      <w:pPr>
        <w:spacing w:after="160" w:line="259" w:lineRule="auto"/>
        <w:rPr>
          <w:rFonts w:ascii="Arial" w:hAnsi="Arial" w:cs="Arial"/>
          <w:b/>
          <w:bCs/>
          <w:lang w:eastAsia="en-GB"/>
        </w:rPr>
      </w:pPr>
      <w:r w:rsidRPr="00E065CB">
        <w:rPr>
          <w:rFonts w:ascii="Arial" w:hAnsi="Arial" w:cs="Arial"/>
          <w:b/>
          <w:bCs/>
          <w:lang w:eastAsia="en-GB"/>
        </w:rPr>
        <w:t xml:space="preserve">Supplementary table </w:t>
      </w:r>
      <w:r w:rsidR="00650105" w:rsidRPr="00E065CB">
        <w:rPr>
          <w:rFonts w:ascii="Arial" w:hAnsi="Arial" w:cs="Arial"/>
          <w:b/>
          <w:bCs/>
        </w:rPr>
        <w:t>2</w:t>
      </w:r>
    </w:p>
    <w:p w14:paraId="2EFCDDC9" w14:textId="77777777" w:rsidR="00C076B1" w:rsidRPr="00E065CB" w:rsidRDefault="00C076B1" w:rsidP="00C076B1">
      <w:pPr>
        <w:spacing w:after="160" w:line="259" w:lineRule="auto"/>
        <w:jc w:val="both"/>
        <w:rPr>
          <w:rFonts w:ascii="Arial" w:hAnsi="Arial" w:cs="Arial"/>
        </w:rPr>
      </w:pPr>
      <w:r w:rsidRPr="00E065CB">
        <w:rPr>
          <w:rFonts w:ascii="Arial" w:hAnsi="Arial" w:cs="Arial"/>
        </w:rPr>
        <w:t xml:space="preserve">Top 20 </w:t>
      </w:r>
      <w:r w:rsidRPr="00E065CB">
        <w:rPr>
          <w:rFonts w:ascii="Arial" w:hAnsi="Arial" w:cs="Arial"/>
          <w:u w:val="single"/>
        </w:rPr>
        <w:t>upregulated</w:t>
      </w:r>
      <w:r w:rsidRPr="00E065CB">
        <w:rPr>
          <w:rFonts w:ascii="Arial" w:hAnsi="Arial" w:cs="Arial"/>
        </w:rPr>
        <w:t xml:space="preserve"> gene sets in AAV8-P16 compared to AAV8-GFP hepatocytes.</w:t>
      </w:r>
    </w:p>
    <w:tbl>
      <w:tblPr>
        <w:tblW w:w="5000" w:type="pct"/>
        <w:tblLayout w:type="fixed"/>
        <w:tblCellMar>
          <w:left w:w="0" w:type="dxa"/>
          <w:right w:w="0" w:type="dxa"/>
        </w:tblCellMar>
        <w:tblLook w:val="04A0" w:firstRow="1" w:lastRow="0" w:firstColumn="1" w:lastColumn="0" w:noHBand="0" w:noVBand="1"/>
      </w:tblPr>
      <w:tblGrid>
        <w:gridCol w:w="6020"/>
        <w:gridCol w:w="719"/>
        <w:gridCol w:w="1351"/>
        <w:gridCol w:w="90"/>
        <w:gridCol w:w="1160"/>
      </w:tblGrid>
      <w:tr w:rsidR="00E065CB" w:rsidRPr="00E065CB" w14:paraId="16FCDC9B" w14:textId="77777777" w:rsidTr="00753969">
        <w:trPr>
          <w:trHeight w:val="320"/>
        </w:trPr>
        <w:tc>
          <w:tcPr>
            <w:tcW w:w="3223" w:type="pct"/>
            <w:tcBorders>
              <w:top w:val="single" w:sz="8" w:space="0" w:color="A5A5A5"/>
              <w:left w:val="single" w:sz="8" w:space="0" w:color="A5A5A5"/>
              <w:bottom w:val="single" w:sz="8" w:space="0" w:color="A5A5A5"/>
              <w:right w:val="nil"/>
            </w:tcBorders>
            <w:shd w:val="clear" w:color="auto" w:fill="A5A5A5"/>
            <w:tcMar>
              <w:top w:w="15" w:type="dxa"/>
              <w:left w:w="108" w:type="dxa"/>
              <w:bottom w:w="0" w:type="dxa"/>
              <w:right w:w="108" w:type="dxa"/>
            </w:tcMar>
            <w:hideMark/>
          </w:tcPr>
          <w:p w14:paraId="35D545FB"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b/>
                <w:bCs/>
                <w:sz w:val="22"/>
                <w:szCs w:val="22"/>
              </w:rPr>
              <w:t>NAME</w:t>
            </w:r>
          </w:p>
        </w:tc>
        <w:tc>
          <w:tcPr>
            <w:tcW w:w="385" w:type="pct"/>
            <w:tcBorders>
              <w:top w:val="single" w:sz="8" w:space="0" w:color="A5A5A5"/>
              <w:left w:val="nil"/>
              <w:bottom w:val="single" w:sz="8" w:space="0" w:color="A5A5A5"/>
              <w:right w:val="nil"/>
            </w:tcBorders>
            <w:shd w:val="clear" w:color="auto" w:fill="A5A5A5"/>
            <w:tcMar>
              <w:top w:w="15" w:type="dxa"/>
              <w:left w:w="108" w:type="dxa"/>
              <w:bottom w:w="0" w:type="dxa"/>
              <w:right w:w="108" w:type="dxa"/>
            </w:tcMar>
            <w:hideMark/>
          </w:tcPr>
          <w:p w14:paraId="51EA7F7B"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b/>
                <w:bCs/>
                <w:sz w:val="22"/>
                <w:szCs w:val="22"/>
              </w:rPr>
              <w:t>NES</w:t>
            </w:r>
          </w:p>
        </w:tc>
        <w:tc>
          <w:tcPr>
            <w:tcW w:w="723" w:type="pct"/>
            <w:tcBorders>
              <w:top w:val="single" w:sz="8" w:space="0" w:color="A5A5A5"/>
              <w:left w:val="nil"/>
              <w:bottom w:val="single" w:sz="8" w:space="0" w:color="A5A5A5"/>
              <w:right w:val="nil"/>
            </w:tcBorders>
            <w:shd w:val="clear" w:color="auto" w:fill="A5A5A5"/>
            <w:tcMar>
              <w:top w:w="15" w:type="dxa"/>
              <w:left w:w="108" w:type="dxa"/>
              <w:bottom w:w="0" w:type="dxa"/>
              <w:right w:w="108" w:type="dxa"/>
            </w:tcMar>
            <w:hideMark/>
          </w:tcPr>
          <w:p w14:paraId="2C296E9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b/>
                <w:bCs/>
                <w:sz w:val="22"/>
                <w:szCs w:val="22"/>
              </w:rPr>
              <w:t>NOM p-</w:t>
            </w:r>
            <w:proofErr w:type="spellStart"/>
            <w:r w:rsidRPr="00E065CB">
              <w:rPr>
                <w:rFonts w:ascii="Arial" w:hAnsi="Arial" w:cs="Arial"/>
                <w:b/>
                <w:bCs/>
                <w:sz w:val="22"/>
                <w:szCs w:val="22"/>
              </w:rPr>
              <w:t>val</w:t>
            </w:r>
            <w:proofErr w:type="spellEnd"/>
          </w:p>
        </w:tc>
        <w:tc>
          <w:tcPr>
            <w:tcW w:w="669" w:type="pct"/>
            <w:gridSpan w:val="2"/>
            <w:tcBorders>
              <w:top w:val="single" w:sz="8" w:space="0" w:color="A5A5A5"/>
              <w:left w:val="nil"/>
              <w:bottom w:val="single" w:sz="8" w:space="0" w:color="A5A5A5"/>
              <w:right w:val="single" w:sz="8" w:space="0" w:color="A5A5A5"/>
            </w:tcBorders>
            <w:shd w:val="clear" w:color="auto" w:fill="A5A5A5"/>
            <w:tcMar>
              <w:top w:w="15" w:type="dxa"/>
              <w:left w:w="108" w:type="dxa"/>
              <w:bottom w:w="0" w:type="dxa"/>
              <w:right w:w="108" w:type="dxa"/>
            </w:tcMar>
            <w:hideMark/>
          </w:tcPr>
          <w:p w14:paraId="4C84A00C"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b/>
                <w:bCs/>
                <w:sz w:val="22"/>
                <w:szCs w:val="22"/>
              </w:rPr>
              <w:t>FDR q-</w:t>
            </w:r>
            <w:proofErr w:type="spellStart"/>
            <w:r w:rsidRPr="00E065CB">
              <w:rPr>
                <w:rFonts w:ascii="Arial" w:hAnsi="Arial" w:cs="Arial"/>
                <w:b/>
                <w:bCs/>
                <w:sz w:val="22"/>
                <w:szCs w:val="22"/>
              </w:rPr>
              <w:t>val</w:t>
            </w:r>
            <w:proofErr w:type="spellEnd"/>
          </w:p>
        </w:tc>
      </w:tr>
      <w:tr w:rsidR="00E065CB" w:rsidRPr="00E065CB" w14:paraId="00070B40" w14:textId="77777777" w:rsidTr="00753969">
        <w:trPr>
          <w:trHeight w:val="320"/>
        </w:trPr>
        <w:tc>
          <w:tcPr>
            <w:tcW w:w="3223"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DA7DD87"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REACTOME_RESPONSE_OF_EIF2AK4_GCN2_TO_AMINO_ACID_DEFICIENCY</w:t>
            </w:r>
          </w:p>
        </w:tc>
        <w:tc>
          <w:tcPr>
            <w:tcW w:w="385"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BEA7F3A"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2.73</w:t>
            </w:r>
          </w:p>
        </w:tc>
        <w:tc>
          <w:tcPr>
            <w:tcW w:w="771" w:type="pct"/>
            <w:gridSpan w:val="2"/>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E1F9F3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E2C2EA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13641310"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947417C"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REACTOME_EUKARYOTIC_TRANSLATION_ELONGATION</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DA8047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2.70</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1C04F94"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9B9AE64"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009F844B"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13C1366"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REACTOME_REGULATION_OF_EXPRESSION_OF_SLITS_AND_ROBOS</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8C0E793"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2.67</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B80E31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A94FC4A"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7B7823AD"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02A2E9D2"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REACTOME_NONSENSE_MEDIATED_DECAY_NMD</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EF0D616"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2.65</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851E331"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885AE2F"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2E6B5BA3"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AFDA58C"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REACTOME_EUKARYOTIC_TRANSLATION_INITIATION</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FC4D5E1"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2.64</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D4E19C4"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83F45F2"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49A23560"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7A74677"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REACTOME_SRP_DEPENDENT_COTRANSLATIONAL_PROTEIN_TARGETING_TO_MEMBRANE</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174743A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2.62</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3FB6A9C"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F35AFB2"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419D31C7"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EE68B80"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REACTOME_CELLULAR_RESPONSE_TO_STARVATION</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D828F5C"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2.54</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4C27897"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3990D3A"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7A8B7017"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68B729D"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REACTOME_TRANSLATION</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EB8CA46"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2.53</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234C615"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D9FE7C5"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671FAC2A"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258288D"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REACTOME_INFLUENZA_INFECTION</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B188F5A"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2.50</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8403947"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2E21A81"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4320C847"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51CB747"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REACTOME_SIGNALING_BY_ROBO_RECEPTORS</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9AFE778"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2.46</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C4FEE23"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16FA52E"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763245AA"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BB01B37"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REACTOME_RESPIRATORY_ELECTRON_TRANSPORT</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E10FB81"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2.42</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C8D3444"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01AFB95"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7F9C6B15"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01A76FFD"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REACTOME_RRNA_PROCESSING</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0F7FFFAD"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2.37</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C803D42"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1EBACECE"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0E3742D0"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EC4F1F3"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REACTOME_SELENOAMINO_ACID_METABOLISM</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482D1B7"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2.36</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9B43C8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283328E"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69A39A74"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90AD524"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REACTOME_ACTIVATION_OF_THE_MRNA_UPON_BINDING_OF_THE_CAP_BINDING_COMPLEX_AND_EIFS_AND_SUBSEQUENT_BINDING_TO_43S</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F9FAD08"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2.34</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1BBDD590"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CB6BDFE"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r w:rsidR="00E065CB" w:rsidRPr="00E065CB" w14:paraId="5BB00FAF"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4694488"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REACTOME_RESPIRATORY_ELECTRON_TRANSPORT_ATP_SYNTHESIS_BY_CHEMIOSMOTIC_COUPLING_AND_HEAT_PRODUCTION_BY_UNCOUPLING_PROTEINS</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57700EE"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2.23</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16B770A"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2C2868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7.41E-04</w:t>
            </w:r>
          </w:p>
        </w:tc>
      </w:tr>
      <w:tr w:rsidR="00E065CB" w:rsidRPr="00E065CB" w14:paraId="0B421B35"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0C568538"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REACTOME_MITOCHONDRIAL_TRANSLATION</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E41643F"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2.21</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DAFB9D9"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979A880"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0.001</w:t>
            </w:r>
          </w:p>
        </w:tc>
      </w:tr>
      <w:tr w:rsidR="00E065CB" w:rsidRPr="00E065CB" w14:paraId="05055748"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21A7887"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REACTOME_COMPLEX_I_BIOGENESIS</w:t>
            </w:r>
          </w:p>
        </w:tc>
        <w:tc>
          <w:tcPr>
            <w:tcW w:w="385"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C8E9654"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2.22</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529F2B5"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550BA3D"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0.001</w:t>
            </w:r>
          </w:p>
        </w:tc>
      </w:tr>
      <w:tr w:rsidR="00C076B1" w:rsidRPr="00E065CB" w14:paraId="62DE6CD4" w14:textId="77777777" w:rsidTr="00753969">
        <w:trPr>
          <w:trHeight w:val="320"/>
        </w:trPr>
        <w:tc>
          <w:tcPr>
            <w:tcW w:w="32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8F22393" w14:textId="77777777" w:rsidR="00C076B1" w:rsidRPr="00E065CB" w:rsidRDefault="00C076B1" w:rsidP="00753969">
            <w:pPr>
              <w:spacing w:after="160" w:line="259" w:lineRule="auto"/>
              <w:jc w:val="both"/>
              <w:rPr>
                <w:rFonts w:ascii="Arial" w:hAnsi="Arial" w:cs="Arial"/>
                <w:sz w:val="22"/>
                <w:szCs w:val="22"/>
              </w:rPr>
            </w:pPr>
            <w:r w:rsidRPr="00E065CB">
              <w:rPr>
                <w:rFonts w:ascii="Arial" w:hAnsi="Arial" w:cs="Arial"/>
                <w:sz w:val="22"/>
                <w:szCs w:val="22"/>
              </w:rPr>
              <w:t>REACTOME_RESPONSE_OF_EIF2AK4_GCN2_TO_AMINO_ACID_DEFICIENCY</w:t>
            </w:r>
          </w:p>
        </w:tc>
        <w:tc>
          <w:tcPr>
            <w:tcW w:w="385"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C4B7DA4"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2.73</w:t>
            </w:r>
          </w:p>
        </w:tc>
        <w:tc>
          <w:tcPr>
            <w:tcW w:w="771" w:type="pct"/>
            <w:gridSpan w:val="2"/>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71FE21B"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D32045E" w14:textId="77777777" w:rsidR="00C076B1" w:rsidRPr="00E065CB" w:rsidRDefault="00C076B1" w:rsidP="00753969">
            <w:pPr>
              <w:spacing w:after="160" w:line="259" w:lineRule="auto"/>
              <w:jc w:val="center"/>
              <w:rPr>
                <w:rFonts w:ascii="Arial" w:hAnsi="Arial" w:cs="Arial"/>
                <w:sz w:val="22"/>
                <w:szCs w:val="22"/>
              </w:rPr>
            </w:pPr>
            <w:r w:rsidRPr="00E065CB">
              <w:rPr>
                <w:rFonts w:ascii="Arial" w:hAnsi="Arial" w:cs="Arial"/>
                <w:sz w:val="22"/>
                <w:szCs w:val="22"/>
              </w:rPr>
              <w:t>0</w:t>
            </w:r>
          </w:p>
        </w:tc>
      </w:tr>
    </w:tbl>
    <w:p w14:paraId="0A01E353" w14:textId="77777777" w:rsidR="00C076B1" w:rsidRPr="00E065CB" w:rsidRDefault="00C076B1" w:rsidP="00C076B1">
      <w:pPr>
        <w:spacing w:after="160" w:line="259" w:lineRule="auto"/>
        <w:jc w:val="both"/>
        <w:rPr>
          <w:rFonts w:ascii="Arial" w:hAnsi="Arial" w:cs="Arial"/>
        </w:rPr>
      </w:pPr>
    </w:p>
    <w:p w14:paraId="057AA69F" w14:textId="09B3458A" w:rsidR="00C076B1" w:rsidRPr="00E065CB" w:rsidRDefault="00C076B1" w:rsidP="00C076B1">
      <w:pPr>
        <w:spacing w:after="160" w:line="259" w:lineRule="auto"/>
        <w:rPr>
          <w:rFonts w:ascii="Arial" w:hAnsi="Arial" w:cs="Arial"/>
          <w:b/>
          <w:bCs/>
          <w:lang w:eastAsia="en-GB"/>
        </w:rPr>
      </w:pPr>
      <w:r w:rsidRPr="00E065CB">
        <w:rPr>
          <w:rFonts w:ascii="Arial" w:hAnsi="Arial" w:cs="Arial"/>
          <w:b/>
          <w:bCs/>
          <w:lang w:eastAsia="en-GB"/>
        </w:rPr>
        <w:t xml:space="preserve">Supplementary table </w:t>
      </w:r>
      <w:r w:rsidR="00650105" w:rsidRPr="00E065CB">
        <w:rPr>
          <w:rFonts w:ascii="Arial" w:hAnsi="Arial" w:cs="Arial"/>
          <w:b/>
          <w:bCs/>
        </w:rPr>
        <w:t>3</w:t>
      </w:r>
    </w:p>
    <w:p w14:paraId="4D56CF78" w14:textId="77777777" w:rsidR="00C076B1" w:rsidRPr="00E065CB" w:rsidRDefault="00C076B1" w:rsidP="00C076B1">
      <w:pPr>
        <w:spacing w:after="160" w:line="259" w:lineRule="auto"/>
        <w:jc w:val="both"/>
        <w:rPr>
          <w:rFonts w:ascii="Arial" w:hAnsi="Arial" w:cs="Arial"/>
        </w:rPr>
      </w:pPr>
      <w:r w:rsidRPr="00E065CB">
        <w:rPr>
          <w:rFonts w:ascii="Arial" w:hAnsi="Arial" w:cs="Arial"/>
        </w:rPr>
        <w:t xml:space="preserve">Top 20 </w:t>
      </w:r>
      <w:r w:rsidRPr="00E065CB">
        <w:rPr>
          <w:rFonts w:ascii="Arial" w:hAnsi="Arial" w:cs="Arial"/>
          <w:u w:val="single"/>
        </w:rPr>
        <w:t>downregulated</w:t>
      </w:r>
      <w:r w:rsidRPr="00E065CB">
        <w:rPr>
          <w:rFonts w:ascii="Arial" w:hAnsi="Arial" w:cs="Arial"/>
        </w:rPr>
        <w:t xml:space="preserve"> gene sets in AAV8-P16 compared to AAV8-GFP hepatocytes.</w:t>
      </w:r>
    </w:p>
    <w:tbl>
      <w:tblPr>
        <w:tblW w:w="5000" w:type="pct"/>
        <w:tblLayout w:type="fixed"/>
        <w:tblCellMar>
          <w:left w:w="0" w:type="dxa"/>
          <w:right w:w="0" w:type="dxa"/>
        </w:tblCellMar>
        <w:tblLook w:val="04A0" w:firstRow="1" w:lastRow="0" w:firstColumn="1" w:lastColumn="0" w:noHBand="0" w:noVBand="1"/>
      </w:tblPr>
      <w:tblGrid>
        <w:gridCol w:w="6199"/>
        <w:gridCol w:w="630"/>
        <w:gridCol w:w="1351"/>
        <w:gridCol w:w="1160"/>
      </w:tblGrid>
      <w:tr w:rsidR="00E065CB" w:rsidRPr="00E065CB" w14:paraId="610C0AAE" w14:textId="77777777" w:rsidTr="00753969">
        <w:trPr>
          <w:trHeight w:val="320"/>
        </w:trPr>
        <w:tc>
          <w:tcPr>
            <w:tcW w:w="3319" w:type="pct"/>
            <w:tcBorders>
              <w:top w:val="single" w:sz="8" w:space="0" w:color="A5A5A5"/>
              <w:left w:val="single" w:sz="8" w:space="0" w:color="A5A5A5"/>
              <w:bottom w:val="single" w:sz="8" w:space="0" w:color="A5A5A5"/>
              <w:right w:val="nil"/>
            </w:tcBorders>
            <w:shd w:val="clear" w:color="auto" w:fill="A5A5A5"/>
            <w:tcMar>
              <w:top w:w="15" w:type="dxa"/>
              <w:left w:w="108" w:type="dxa"/>
              <w:bottom w:w="0" w:type="dxa"/>
              <w:right w:w="108" w:type="dxa"/>
            </w:tcMar>
            <w:hideMark/>
          </w:tcPr>
          <w:p w14:paraId="166200CB" w14:textId="77777777" w:rsidR="00C076B1" w:rsidRPr="00E065CB" w:rsidRDefault="00C076B1" w:rsidP="00753969">
            <w:pPr>
              <w:spacing w:after="160" w:line="259" w:lineRule="auto"/>
              <w:rPr>
                <w:rFonts w:ascii="Arial" w:hAnsi="Arial" w:cs="Arial"/>
                <w:b/>
                <w:bCs/>
                <w:sz w:val="20"/>
                <w:szCs w:val="20"/>
              </w:rPr>
            </w:pPr>
            <w:r w:rsidRPr="00E065CB">
              <w:rPr>
                <w:rFonts w:ascii="Arial" w:hAnsi="Arial" w:cs="Arial"/>
                <w:b/>
                <w:bCs/>
                <w:sz w:val="20"/>
                <w:szCs w:val="20"/>
              </w:rPr>
              <w:t>NAME</w:t>
            </w:r>
          </w:p>
        </w:tc>
        <w:tc>
          <w:tcPr>
            <w:tcW w:w="337" w:type="pct"/>
            <w:tcBorders>
              <w:top w:val="single" w:sz="8" w:space="0" w:color="A5A5A5"/>
              <w:left w:val="nil"/>
              <w:bottom w:val="single" w:sz="8" w:space="0" w:color="A5A5A5"/>
              <w:right w:val="nil"/>
            </w:tcBorders>
            <w:shd w:val="clear" w:color="auto" w:fill="A5A5A5"/>
            <w:tcMar>
              <w:top w:w="15" w:type="dxa"/>
              <w:left w:w="108" w:type="dxa"/>
              <w:bottom w:w="0" w:type="dxa"/>
              <w:right w:w="108" w:type="dxa"/>
            </w:tcMar>
            <w:hideMark/>
          </w:tcPr>
          <w:p w14:paraId="48C52930" w14:textId="77777777" w:rsidR="00C076B1" w:rsidRPr="00E065CB" w:rsidRDefault="00C076B1" w:rsidP="00753969">
            <w:pPr>
              <w:spacing w:after="160" w:line="259" w:lineRule="auto"/>
              <w:jc w:val="center"/>
              <w:rPr>
                <w:rFonts w:ascii="Arial" w:hAnsi="Arial" w:cs="Arial"/>
                <w:b/>
                <w:bCs/>
                <w:sz w:val="20"/>
                <w:szCs w:val="20"/>
              </w:rPr>
            </w:pPr>
            <w:r w:rsidRPr="00E065CB">
              <w:rPr>
                <w:rFonts w:ascii="Arial" w:hAnsi="Arial" w:cs="Arial"/>
                <w:b/>
                <w:bCs/>
                <w:sz w:val="20"/>
                <w:szCs w:val="20"/>
              </w:rPr>
              <w:t>NES</w:t>
            </w:r>
          </w:p>
        </w:tc>
        <w:tc>
          <w:tcPr>
            <w:tcW w:w="723" w:type="pct"/>
            <w:tcBorders>
              <w:top w:val="single" w:sz="8" w:space="0" w:color="A5A5A5"/>
              <w:left w:val="nil"/>
              <w:bottom w:val="single" w:sz="8" w:space="0" w:color="A5A5A5"/>
              <w:right w:val="nil"/>
            </w:tcBorders>
            <w:shd w:val="clear" w:color="auto" w:fill="A5A5A5"/>
            <w:tcMar>
              <w:top w:w="15" w:type="dxa"/>
              <w:left w:w="108" w:type="dxa"/>
              <w:bottom w:w="0" w:type="dxa"/>
              <w:right w:w="108" w:type="dxa"/>
            </w:tcMar>
            <w:hideMark/>
          </w:tcPr>
          <w:p w14:paraId="4EC9EE2E" w14:textId="77777777" w:rsidR="00C076B1" w:rsidRPr="00E065CB" w:rsidRDefault="00C076B1" w:rsidP="00753969">
            <w:pPr>
              <w:spacing w:after="160" w:line="259" w:lineRule="auto"/>
              <w:jc w:val="center"/>
              <w:rPr>
                <w:rFonts w:ascii="Arial" w:hAnsi="Arial" w:cs="Arial"/>
                <w:b/>
                <w:bCs/>
                <w:sz w:val="20"/>
                <w:szCs w:val="20"/>
              </w:rPr>
            </w:pPr>
            <w:r w:rsidRPr="00E065CB">
              <w:rPr>
                <w:rFonts w:ascii="Arial" w:hAnsi="Arial" w:cs="Arial"/>
                <w:b/>
                <w:bCs/>
                <w:sz w:val="20"/>
                <w:szCs w:val="20"/>
              </w:rPr>
              <w:t>NOM p-</w:t>
            </w:r>
            <w:proofErr w:type="spellStart"/>
            <w:r w:rsidRPr="00E065CB">
              <w:rPr>
                <w:rFonts w:ascii="Arial" w:hAnsi="Arial" w:cs="Arial"/>
                <w:b/>
                <w:bCs/>
                <w:sz w:val="20"/>
                <w:szCs w:val="20"/>
              </w:rPr>
              <w:t>val</w:t>
            </w:r>
            <w:proofErr w:type="spellEnd"/>
          </w:p>
        </w:tc>
        <w:tc>
          <w:tcPr>
            <w:tcW w:w="621" w:type="pct"/>
            <w:tcBorders>
              <w:top w:val="single" w:sz="8" w:space="0" w:color="A5A5A5"/>
              <w:left w:val="nil"/>
              <w:bottom w:val="single" w:sz="8" w:space="0" w:color="A5A5A5"/>
              <w:right w:val="single" w:sz="8" w:space="0" w:color="A5A5A5"/>
            </w:tcBorders>
            <w:shd w:val="clear" w:color="auto" w:fill="A5A5A5"/>
            <w:tcMar>
              <w:top w:w="15" w:type="dxa"/>
              <w:left w:w="108" w:type="dxa"/>
              <w:bottom w:w="0" w:type="dxa"/>
              <w:right w:w="108" w:type="dxa"/>
            </w:tcMar>
            <w:hideMark/>
          </w:tcPr>
          <w:p w14:paraId="33C32916" w14:textId="77777777" w:rsidR="00C076B1" w:rsidRPr="00E065CB" w:rsidRDefault="00C076B1" w:rsidP="00753969">
            <w:pPr>
              <w:spacing w:after="160" w:line="259" w:lineRule="auto"/>
              <w:jc w:val="center"/>
              <w:rPr>
                <w:rFonts w:ascii="Arial" w:hAnsi="Arial" w:cs="Arial"/>
                <w:b/>
                <w:bCs/>
                <w:sz w:val="20"/>
                <w:szCs w:val="20"/>
              </w:rPr>
            </w:pPr>
            <w:r w:rsidRPr="00E065CB">
              <w:rPr>
                <w:rFonts w:ascii="Arial" w:hAnsi="Arial" w:cs="Arial"/>
                <w:b/>
                <w:bCs/>
                <w:sz w:val="20"/>
                <w:szCs w:val="20"/>
              </w:rPr>
              <w:t>FDR q-</w:t>
            </w:r>
            <w:proofErr w:type="spellStart"/>
            <w:r w:rsidRPr="00E065CB">
              <w:rPr>
                <w:rFonts w:ascii="Arial" w:hAnsi="Arial" w:cs="Arial"/>
                <w:b/>
                <w:bCs/>
                <w:sz w:val="20"/>
                <w:szCs w:val="20"/>
              </w:rPr>
              <w:t>val</w:t>
            </w:r>
            <w:proofErr w:type="spellEnd"/>
          </w:p>
        </w:tc>
      </w:tr>
      <w:tr w:rsidR="00E065CB" w:rsidRPr="00E065CB" w14:paraId="6E6FE261" w14:textId="77777777" w:rsidTr="00753969">
        <w:trPr>
          <w:trHeight w:val="320"/>
        </w:trPr>
        <w:tc>
          <w:tcPr>
            <w:tcW w:w="3319"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6029F50"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REACTOME_IMMUNOREGULATORY_INTERACTIONS_BETWEEN_A_LYMPHOID_AND_A_NON_LYMPHOID_CELL</w:t>
            </w:r>
          </w:p>
        </w:tc>
        <w:tc>
          <w:tcPr>
            <w:tcW w:w="337"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DA67B55"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-2.26</w:t>
            </w:r>
          </w:p>
        </w:tc>
        <w:tc>
          <w:tcPr>
            <w:tcW w:w="723"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6D6395C"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3632ADA"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0.006</w:t>
            </w:r>
          </w:p>
        </w:tc>
      </w:tr>
      <w:tr w:rsidR="00E065CB" w:rsidRPr="00E065CB" w14:paraId="7F3F4934"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54CA6BD"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REACTOME_EXTRACELLULAR_MATRIX_ORGANIZATION</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8A5721B"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-2.12</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E1760A7"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1E3E7C5"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0.01</w:t>
            </w:r>
          </w:p>
        </w:tc>
      </w:tr>
      <w:tr w:rsidR="00E065CB" w:rsidRPr="00E065CB" w14:paraId="207CA931"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9E84B86"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REACTOME_COMPLEMENT_CASCADE</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FA6226E"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-2.12</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383AC21"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D6F437C"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0.02</w:t>
            </w:r>
          </w:p>
        </w:tc>
      </w:tr>
      <w:tr w:rsidR="00E065CB" w:rsidRPr="00E065CB" w14:paraId="647DC2FD"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97378AB"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REACTOME_SULFUR_AMINO_ACID_METABOLISM</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0DE916FC"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-1.96</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2237360"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50DFBB2"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0.05</w:t>
            </w:r>
          </w:p>
        </w:tc>
      </w:tr>
      <w:tr w:rsidR="00E065CB" w:rsidRPr="00E065CB" w14:paraId="3D9CC4AA"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7AE5042"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REACTOME_GLUCONEOGENESIS</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549C07B"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-1.93</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969F39D"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0B3D26E"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4235F635"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2318D97"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REACTOME_CELL_SURFACE_INTERACTIONS_AT_THE_VASCULAR_WALL</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0211BFE9"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-1.92</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DFC1041"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0.002</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A0879D0"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4FDBC799"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B331A55"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REACTOME_DEGRADATION_OF_THE_EXTRACELLULAR_MATRIX</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28608DE"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-1.91</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B0F0C42"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B561120"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7C634BBC"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D8523A8"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REACTOME_PLATELET_ACTIVATION_SIGNALING_AND_AGGREGATION</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7B5AD29"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-1.90</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FC0E286"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5BF0659"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1A2628C2"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85D6F79"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REACTOME_ELASTIC_FIBRE_FORMATION</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38A3852"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-1.93</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89F6094"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0.002</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548EFD9"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6691275F"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4F6548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REACTOME_CA_DEPENDENT_EVENTS</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9164FEF"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-1.89</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8054BD5"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0.006</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E3AF335"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17566606"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9A04FB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REACTOME_INITIAL_TRIGGERING_OF_COMPLEMENT</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61FD289"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-1.89</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4DDCB98B"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0.002</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7C6F94A"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296308E7"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894BB5C"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REACTOME_ANTI_INFLAMMATORY_RESPONSE_FAVOURING_LEISHMANIA_PARASITE_INFECTION</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CE4A7B1"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-1.83</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B020106"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6EE2735"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4088B17A"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7594814"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REACTOME_INTEGRIN_CELL_SURFACE_INTERACTIONS</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72F1005"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-1.88</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038640C0"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06EAA50"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4322E02C"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70D7D2B"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REACTOME_MOLECULES_ASSOCIATED_WITH_ELASTIC_FIBRES</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3B87D162"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-1.86</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478729E"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BD20551"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2F03DF48"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BFED99E"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REACTOME_LEISHMANIA_INFECTION</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AEF4FDF"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-1.83</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9D8172B"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71FDC1E2"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2ED7FC94"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299A173"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REACTOME_IMMUNOREGULATORY_INTERACTIONS_BETWEEN_A_LYMPHOID_AND_A_NON_LYMPHOID_CELL</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1AD39FE2"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-2.26</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3A9522E"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51C28793"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0.006</w:t>
            </w:r>
          </w:p>
        </w:tc>
      </w:tr>
      <w:tr w:rsidR="00E065CB" w:rsidRPr="00E065CB" w14:paraId="43F82C02"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2F017C01"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REACTOME_EXTRACELLULAR_MATRIX_ORGANIZATION</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6FEFBB7"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-2.12</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F0B9503"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A6085C1"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0.01</w:t>
            </w:r>
          </w:p>
        </w:tc>
      </w:tr>
      <w:tr w:rsidR="00E065CB" w:rsidRPr="00E065CB" w14:paraId="00FBD59C"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22BD1BF9"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REACTOME_COMPLEMENT_CASCADE</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4BE6F1BA"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-2.12</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75D45757"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hideMark/>
          </w:tcPr>
          <w:p w14:paraId="6E279E96"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0.02</w:t>
            </w:r>
          </w:p>
        </w:tc>
      </w:tr>
      <w:tr w:rsidR="00E065CB" w:rsidRPr="00E065CB" w14:paraId="3E26E406" w14:textId="77777777" w:rsidTr="00753969">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583E718D" w14:textId="77777777" w:rsidR="00C076B1" w:rsidRPr="00E065CB" w:rsidRDefault="00C076B1" w:rsidP="00753969">
            <w:pPr>
              <w:spacing w:after="160" w:line="259" w:lineRule="auto"/>
              <w:rPr>
                <w:rFonts w:ascii="Arial" w:hAnsi="Arial" w:cs="Arial"/>
                <w:sz w:val="20"/>
                <w:szCs w:val="20"/>
              </w:rPr>
            </w:pPr>
            <w:r w:rsidRPr="00E065CB">
              <w:rPr>
                <w:rFonts w:ascii="Arial" w:hAnsi="Arial" w:cs="Arial"/>
                <w:sz w:val="20"/>
                <w:szCs w:val="20"/>
              </w:rPr>
              <w:t>REACTOME_SULFUR_AMINO_ACID_METABOLISM</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6E970AAF"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-1.96</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3381C66C"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hideMark/>
          </w:tcPr>
          <w:p w14:paraId="14A5F7FA" w14:textId="77777777" w:rsidR="00C076B1" w:rsidRPr="00E065CB" w:rsidRDefault="00C076B1" w:rsidP="00753969">
            <w:pPr>
              <w:spacing w:after="160" w:line="259" w:lineRule="auto"/>
              <w:jc w:val="center"/>
              <w:rPr>
                <w:rFonts w:ascii="Arial" w:hAnsi="Arial" w:cs="Arial"/>
                <w:sz w:val="20"/>
                <w:szCs w:val="20"/>
              </w:rPr>
            </w:pPr>
            <w:r w:rsidRPr="00E065CB">
              <w:rPr>
                <w:rFonts w:ascii="Arial" w:hAnsi="Arial" w:cs="Arial"/>
                <w:sz w:val="20"/>
                <w:szCs w:val="20"/>
              </w:rPr>
              <w:t>0.05</w:t>
            </w:r>
          </w:p>
        </w:tc>
      </w:tr>
    </w:tbl>
    <w:p w14:paraId="1A8E12F7" w14:textId="77777777" w:rsidR="002A68BB" w:rsidRPr="00E065CB" w:rsidRDefault="002A68BB" w:rsidP="002A68BB">
      <w:pPr>
        <w:spacing w:after="160" w:line="259" w:lineRule="auto"/>
        <w:rPr>
          <w:rFonts w:ascii="Arial" w:hAnsi="Arial" w:cs="Arial"/>
          <w:b/>
          <w:bCs/>
        </w:rPr>
      </w:pPr>
    </w:p>
    <w:p w14:paraId="5E953E5E" w14:textId="77777777" w:rsidR="0037379C" w:rsidRPr="00E065CB" w:rsidRDefault="0037379C" w:rsidP="002A68BB">
      <w:pPr>
        <w:spacing w:after="160" w:line="259" w:lineRule="auto"/>
        <w:rPr>
          <w:rFonts w:ascii="Arial" w:hAnsi="Arial" w:cs="Arial"/>
          <w:b/>
          <w:bCs/>
        </w:rPr>
      </w:pPr>
    </w:p>
    <w:p w14:paraId="2C65832A" w14:textId="77777777" w:rsidR="0037379C" w:rsidRPr="00E065CB" w:rsidRDefault="0037379C" w:rsidP="002A68BB">
      <w:pPr>
        <w:spacing w:after="160" w:line="259" w:lineRule="auto"/>
        <w:rPr>
          <w:rFonts w:ascii="Arial" w:hAnsi="Arial" w:cs="Arial"/>
          <w:b/>
          <w:bCs/>
        </w:rPr>
      </w:pPr>
    </w:p>
    <w:p w14:paraId="4265270B" w14:textId="0E457B0B" w:rsidR="002A68BB" w:rsidRPr="00E065CB" w:rsidRDefault="002A68BB" w:rsidP="002A68BB">
      <w:pPr>
        <w:spacing w:after="160" w:line="259" w:lineRule="auto"/>
        <w:rPr>
          <w:rFonts w:ascii="Arial" w:hAnsi="Arial" w:cs="Arial"/>
          <w:b/>
          <w:bCs/>
        </w:rPr>
      </w:pPr>
      <w:r w:rsidRPr="00E065CB">
        <w:rPr>
          <w:rFonts w:ascii="Arial" w:hAnsi="Arial" w:cs="Arial"/>
          <w:b/>
          <w:bCs/>
          <w:lang w:eastAsia="en-GB"/>
        </w:rPr>
        <w:t xml:space="preserve">Supplementary table </w:t>
      </w:r>
      <w:r w:rsidRPr="00E065CB">
        <w:rPr>
          <w:rFonts w:ascii="Arial" w:hAnsi="Arial" w:cs="Arial"/>
          <w:b/>
          <w:bCs/>
        </w:rPr>
        <w:t>4</w:t>
      </w:r>
    </w:p>
    <w:p w14:paraId="3D979CD3" w14:textId="77777777" w:rsidR="002A68BB" w:rsidRPr="00E065CB" w:rsidRDefault="002A68BB" w:rsidP="002A68BB">
      <w:pPr>
        <w:spacing w:after="160" w:line="259" w:lineRule="auto"/>
        <w:jc w:val="both"/>
        <w:rPr>
          <w:rFonts w:ascii="Arial" w:hAnsi="Arial" w:cs="Arial"/>
        </w:rPr>
      </w:pPr>
      <w:r w:rsidRPr="00E065CB">
        <w:rPr>
          <w:rFonts w:ascii="Arial" w:hAnsi="Arial" w:cs="Arial"/>
        </w:rPr>
        <w:t xml:space="preserve">Stress-related </w:t>
      </w:r>
      <w:r w:rsidRPr="00E065CB">
        <w:rPr>
          <w:rFonts w:ascii="Arial" w:hAnsi="Arial" w:cs="Arial"/>
          <w:u w:val="single"/>
        </w:rPr>
        <w:t>upregulated</w:t>
      </w:r>
      <w:r w:rsidRPr="00E065CB">
        <w:rPr>
          <w:rFonts w:ascii="Arial" w:hAnsi="Arial" w:cs="Arial"/>
        </w:rPr>
        <w:t xml:space="preserve"> gene sets in AAV8-P16 compared to AAV8-GFP hepatocytes.</w:t>
      </w:r>
    </w:p>
    <w:tbl>
      <w:tblPr>
        <w:tblW w:w="5000" w:type="pct"/>
        <w:tblLayout w:type="fixed"/>
        <w:tblCellMar>
          <w:left w:w="0" w:type="dxa"/>
          <w:right w:w="0" w:type="dxa"/>
        </w:tblCellMar>
        <w:tblLook w:val="04A0" w:firstRow="1" w:lastRow="0" w:firstColumn="1" w:lastColumn="0" w:noHBand="0" w:noVBand="1"/>
      </w:tblPr>
      <w:tblGrid>
        <w:gridCol w:w="6199"/>
        <w:gridCol w:w="630"/>
        <w:gridCol w:w="1351"/>
        <w:gridCol w:w="1160"/>
      </w:tblGrid>
      <w:tr w:rsidR="00E065CB" w:rsidRPr="00E065CB" w14:paraId="3188398D" w14:textId="77777777" w:rsidTr="00935CDB">
        <w:trPr>
          <w:trHeight w:val="320"/>
        </w:trPr>
        <w:tc>
          <w:tcPr>
            <w:tcW w:w="3319" w:type="pct"/>
            <w:tcBorders>
              <w:top w:val="single" w:sz="8" w:space="0" w:color="A5A5A5"/>
              <w:left w:val="single" w:sz="8" w:space="0" w:color="A5A5A5"/>
              <w:bottom w:val="single" w:sz="8" w:space="0" w:color="A5A5A5"/>
              <w:right w:val="nil"/>
            </w:tcBorders>
            <w:shd w:val="clear" w:color="auto" w:fill="A5A5A5"/>
            <w:tcMar>
              <w:top w:w="15" w:type="dxa"/>
              <w:left w:w="108" w:type="dxa"/>
              <w:bottom w:w="0" w:type="dxa"/>
              <w:right w:w="108" w:type="dxa"/>
            </w:tcMar>
            <w:hideMark/>
          </w:tcPr>
          <w:p w14:paraId="7C681D98" w14:textId="77777777" w:rsidR="002A68BB" w:rsidRPr="00E065CB" w:rsidRDefault="002A68BB" w:rsidP="00935CDB">
            <w:pPr>
              <w:spacing w:after="160" w:line="259" w:lineRule="auto"/>
              <w:rPr>
                <w:rFonts w:ascii="Arial" w:hAnsi="Arial" w:cs="Arial"/>
                <w:b/>
                <w:bCs/>
                <w:sz w:val="20"/>
                <w:szCs w:val="20"/>
              </w:rPr>
            </w:pPr>
            <w:r w:rsidRPr="00E065CB">
              <w:rPr>
                <w:rFonts w:ascii="Arial" w:hAnsi="Arial" w:cs="Arial"/>
                <w:b/>
                <w:bCs/>
                <w:sz w:val="20"/>
                <w:szCs w:val="20"/>
              </w:rPr>
              <w:t>NAME</w:t>
            </w:r>
          </w:p>
        </w:tc>
        <w:tc>
          <w:tcPr>
            <w:tcW w:w="337" w:type="pct"/>
            <w:tcBorders>
              <w:top w:val="single" w:sz="8" w:space="0" w:color="A5A5A5"/>
              <w:left w:val="nil"/>
              <w:bottom w:val="single" w:sz="8" w:space="0" w:color="A5A5A5"/>
              <w:right w:val="nil"/>
            </w:tcBorders>
            <w:shd w:val="clear" w:color="auto" w:fill="A5A5A5"/>
            <w:tcMar>
              <w:top w:w="15" w:type="dxa"/>
              <w:left w:w="108" w:type="dxa"/>
              <w:bottom w:w="0" w:type="dxa"/>
              <w:right w:w="108" w:type="dxa"/>
            </w:tcMar>
            <w:hideMark/>
          </w:tcPr>
          <w:p w14:paraId="41445358" w14:textId="77777777" w:rsidR="002A68BB" w:rsidRPr="00E065CB" w:rsidRDefault="002A68BB" w:rsidP="00935CDB">
            <w:pPr>
              <w:spacing w:after="160" w:line="259" w:lineRule="auto"/>
              <w:jc w:val="center"/>
              <w:rPr>
                <w:rFonts w:ascii="Arial" w:hAnsi="Arial" w:cs="Arial"/>
                <w:b/>
                <w:bCs/>
                <w:sz w:val="20"/>
                <w:szCs w:val="20"/>
              </w:rPr>
            </w:pPr>
            <w:r w:rsidRPr="00E065CB">
              <w:rPr>
                <w:rFonts w:ascii="Arial" w:hAnsi="Arial" w:cs="Arial"/>
                <w:b/>
                <w:bCs/>
                <w:sz w:val="20"/>
                <w:szCs w:val="20"/>
              </w:rPr>
              <w:t>NES</w:t>
            </w:r>
          </w:p>
        </w:tc>
        <w:tc>
          <w:tcPr>
            <w:tcW w:w="723" w:type="pct"/>
            <w:tcBorders>
              <w:top w:val="single" w:sz="8" w:space="0" w:color="A5A5A5"/>
              <w:left w:val="nil"/>
              <w:bottom w:val="single" w:sz="8" w:space="0" w:color="A5A5A5"/>
              <w:right w:val="nil"/>
            </w:tcBorders>
            <w:shd w:val="clear" w:color="auto" w:fill="A5A5A5"/>
            <w:tcMar>
              <w:top w:w="15" w:type="dxa"/>
              <w:left w:w="108" w:type="dxa"/>
              <w:bottom w:w="0" w:type="dxa"/>
              <w:right w:w="108" w:type="dxa"/>
            </w:tcMar>
            <w:hideMark/>
          </w:tcPr>
          <w:p w14:paraId="753E2C02" w14:textId="77777777" w:rsidR="002A68BB" w:rsidRPr="00E065CB" w:rsidRDefault="002A68BB" w:rsidP="00935CDB">
            <w:pPr>
              <w:spacing w:after="160" w:line="259" w:lineRule="auto"/>
              <w:jc w:val="center"/>
              <w:rPr>
                <w:rFonts w:ascii="Arial" w:hAnsi="Arial" w:cs="Arial"/>
                <w:b/>
                <w:bCs/>
                <w:sz w:val="20"/>
                <w:szCs w:val="20"/>
              </w:rPr>
            </w:pPr>
            <w:r w:rsidRPr="00E065CB">
              <w:rPr>
                <w:rFonts w:ascii="Arial" w:hAnsi="Arial" w:cs="Arial"/>
                <w:b/>
                <w:bCs/>
                <w:sz w:val="20"/>
                <w:szCs w:val="20"/>
              </w:rPr>
              <w:t>NOM p-</w:t>
            </w:r>
            <w:proofErr w:type="spellStart"/>
            <w:r w:rsidRPr="00E065CB">
              <w:rPr>
                <w:rFonts w:ascii="Arial" w:hAnsi="Arial" w:cs="Arial"/>
                <w:b/>
                <w:bCs/>
                <w:sz w:val="20"/>
                <w:szCs w:val="20"/>
              </w:rPr>
              <w:t>val</w:t>
            </w:r>
            <w:proofErr w:type="spellEnd"/>
          </w:p>
        </w:tc>
        <w:tc>
          <w:tcPr>
            <w:tcW w:w="621" w:type="pct"/>
            <w:tcBorders>
              <w:top w:val="single" w:sz="8" w:space="0" w:color="A5A5A5"/>
              <w:left w:val="nil"/>
              <w:bottom w:val="single" w:sz="8" w:space="0" w:color="A5A5A5"/>
              <w:right w:val="single" w:sz="8" w:space="0" w:color="A5A5A5"/>
            </w:tcBorders>
            <w:shd w:val="clear" w:color="auto" w:fill="A5A5A5"/>
            <w:tcMar>
              <w:top w:w="15" w:type="dxa"/>
              <w:left w:w="108" w:type="dxa"/>
              <w:bottom w:w="0" w:type="dxa"/>
              <w:right w:w="108" w:type="dxa"/>
            </w:tcMar>
            <w:hideMark/>
          </w:tcPr>
          <w:p w14:paraId="6D2B4F25" w14:textId="77777777" w:rsidR="002A68BB" w:rsidRPr="00E065CB" w:rsidRDefault="002A68BB" w:rsidP="00935CDB">
            <w:pPr>
              <w:spacing w:after="160" w:line="259" w:lineRule="auto"/>
              <w:jc w:val="center"/>
              <w:rPr>
                <w:rFonts w:ascii="Arial" w:hAnsi="Arial" w:cs="Arial"/>
                <w:b/>
                <w:bCs/>
                <w:sz w:val="20"/>
                <w:szCs w:val="20"/>
              </w:rPr>
            </w:pPr>
            <w:r w:rsidRPr="00E065CB">
              <w:rPr>
                <w:rFonts w:ascii="Arial" w:hAnsi="Arial" w:cs="Arial"/>
                <w:b/>
                <w:bCs/>
                <w:sz w:val="20"/>
                <w:szCs w:val="20"/>
              </w:rPr>
              <w:t>FDR q-</w:t>
            </w:r>
            <w:proofErr w:type="spellStart"/>
            <w:r w:rsidRPr="00E065CB">
              <w:rPr>
                <w:rFonts w:ascii="Arial" w:hAnsi="Arial" w:cs="Arial"/>
                <w:b/>
                <w:bCs/>
                <w:sz w:val="20"/>
                <w:szCs w:val="20"/>
              </w:rPr>
              <w:t>val</w:t>
            </w:r>
            <w:proofErr w:type="spellEnd"/>
          </w:p>
        </w:tc>
      </w:tr>
      <w:tr w:rsidR="00E065CB" w:rsidRPr="00E065CB" w14:paraId="0B1F115D" w14:textId="77777777" w:rsidTr="00935CDB">
        <w:trPr>
          <w:trHeight w:val="320"/>
        </w:trPr>
        <w:tc>
          <w:tcPr>
            <w:tcW w:w="3319"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52149A7B"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REACTOME_STABILIZATION_OF_P53</w:t>
            </w:r>
          </w:p>
        </w:tc>
        <w:tc>
          <w:tcPr>
            <w:tcW w:w="337"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7B774CBA"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2.18</w:t>
            </w:r>
          </w:p>
        </w:tc>
        <w:tc>
          <w:tcPr>
            <w:tcW w:w="723"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2AC778ED"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A5A5A5"/>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4176F197"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0.002</w:t>
            </w:r>
          </w:p>
        </w:tc>
      </w:tr>
      <w:tr w:rsidR="00E065CB" w:rsidRPr="00E065CB" w14:paraId="5B4083B9"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41E9D8A7"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REACTOME_G1_S_DNA_DAMAGE_CHECKPOINTS</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43295D87"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1.98</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24F5DC3C"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070EBB9F"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0.02</w:t>
            </w:r>
          </w:p>
        </w:tc>
      </w:tr>
      <w:tr w:rsidR="00E065CB" w:rsidRPr="00E065CB" w14:paraId="713B42A2"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550A3C8D"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REACTOME_ONCOGENE_INDUCED_SENESCENCE</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04C1E017"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1.78</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1CBE974B"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0.01</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56BECFEB"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5CEE962A"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09784002"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REACTOME_OXIDATIVE_STRESS_INDUCED_SENESCENCE</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653C49A4"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1.66</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54E20C44"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0.003</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7EFD77EC"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0.09</w:t>
            </w:r>
          </w:p>
        </w:tc>
      </w:tr>
      <w:tr w:rsidR="00E065CB" w:rsidRPr="00E065CB" w14:paraId="1829CE65"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4803A5CB"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REACTOME_CELLULAR_RESPONSE_TO_STARVATION</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4EFC4319"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2.55</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3EA6F491"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26013A64"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w:t>
            </w:r>
          </w:p>
        </w:tc>
      </w:tr>
      <w:tr w:rsidR="00E065CB" w:rsidRPr="00E065CB" w14:paraId="71779112"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16DFB7C9"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REACTOME_CELLULAR_RESPONSE_TO_CHEMICAL_STRESS</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1F9A4B40"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1.84</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7D4596AF"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71B2BFDE"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0.04</w:t>
            </w:r>
          </w:p>
        </w:tc>
      </w:tr>
      <w:tr w:rsidR="00E065CB" w:rsidRPr="00E065CB" w14:paraId="491025D7"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13054F43"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REACTOME_MAPK6_MAPK4_SIGNALING</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4DBE6A39"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1.80</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1CFDDEFB"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0.007</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52600798"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0.06</w:t>
            </w:r>
          </w:p>
        </w:tc>
      </w:tr>
      <w:tr w:rsidR="00E065CB" w:rsidRPr="00E065CB" w14:paraId="29BA11A9"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0B8877DC"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REACTOME_JNK_C_JUN_KINASES_PHOSPHORYLATION_AND_ACTIVATION_MEDIATED_BY_ACTIVATED_HUMAN_TAK1</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0D6AE2BB"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1.55</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5888CF10"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0.03</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137C7C52"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0.14</w:t>
            </w:r>
          </w:p>
        </w:tc>
      </w:tr>
      <w:tr w:rsidR="00E065CB" w:rsidRPr="00E065CB" w14:paraId="5A59BE7A"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624438E4"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PID_ATF2_PATHWAY</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6E475B04"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1.67</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427BA0A3"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0.01</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1BCE748B"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0.09</w:t>
            </w:r>
          </w:p>
        </w:tc>
      </w:tr>
      <w:tr w:rsidR="00E065CB" w:rsidRPr="00E065CB" w14:paraId="5393946A"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3FED4130"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PID_AP1_PATHWAY</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0BEA9360"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1.66</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4124818C"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0.01</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308AB020"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0.09</w:t>
            </w:r>
          </w:p>
        </w:tc>
      </w:tr>
      <w:tr w:rsidR="00E065CB" w:rsidRPr="00E065CB" w14:paraId="770B0F7B" w14:textId="77777777" w:rsidTr="00935CDB">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5FB189B6" w14:textId="77777777" w:rsidR="002A68BB" w:rsidRPr="00E065CB" w:rsidRDefault="002A68BB" w:rsidP="00935CDB">
            <w:pPr>
              <w:spacing w:after="160" w:line="259" w:lineRule="auto"/>
              <w:rPr>
                <w:rFonts w:ascii="Arial" w:hAnsi="Arial" w:cs="Arial"/>
                <w:sz w:val="20"/>
                <w:szCs w:val="20"/>
              </w:rPr>
            </w:pPr>
            <w:r w:rsidRPr="00E065CB">
              <w:rPr>
                <w:rFonts w:ascii="Arial" w:hAnsi="Arial" w:cs="Arial"/>
                <w:sz w:val="20"/>
                <w:szCs w:val="20"/>
              </w:rPr>
              <w:t>REACTOME_SIGNALING_BY_RETINOIC_ACID</w:t>
            </w:r>
          </w:p>
        </w:tc>
        <w:tc>
          <w:tcPr>
            <w:tcW w:w="337"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38FCF7D7"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1.85</w:t>
            </w:r>
          </w:p>
        </w:tc>
        <w:tc>
          <w:tcPr>
            <w:tcW w:w="723"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5BBCBC16"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0.001</w:t>
            </w:r>
          </w:p>
        </w:tc>
        <w:tc>
          <w:tcPr>
            <w:tcW w:w="621" w:type="pct"/>
            <w:tcBorders>
              <w:top w:val="single" w:sz="8" w:space="0" w:color="C9C9C9"/>
              <w:left w:val="single" w:sz="8" w:space="0" w:color="C9C9C9"/>
              <w:bottom w:val="single" w:sz="8" w:space="0" w:color="C9C9C9"/>
              <w:right w:val="single" w:sz="8" w:space="0" w:color="C9C9C9"/>
            </w:tcBorders>
            <w:shd w:val="clear" w:color="auto" w:fill="EDEDED"/>
            <w:tcMar>
              <w:top w:w="15" w:type="dxa"/>
              <w:left w:w="15" w:type="dxa"/>
              <w:bottom w:w="0" w:type="dxa"/>
              <w:right w:w="15" w:type="dxa"/>
            </w:tcMar>
            <w:vAlign w:val="bottom"/>
          </w:tcPr>
          <w:p w14:paraId="72886EAE" w14:textId="77777777" w:rsidR="002A68BB" w:rsidRPr="00E065CB" w:rsidRDefault="002A68BB" w:rsidP="00935CDB">
            <w:pPr>
              <w:spacing w:after="160" w:line="259" w:lineRule="auto"/>
              <w:jc w:val="center"/>
              <w:rPr>
                <w:rFonts w:ascii="Arial" w:hAnsi="Arial" w:cs="Arial"/>
                <w:sz w:val="20"/>
                <w:szCs w:val="20"/>
              </w:rPr>
            </w:pPr>
            <w:r w:rsidRPr="00E065CB">
              <w:rPr>
                <w:rFonts w:ascii="Arial" w:hAnsi="Arial" w:cs="Arial"/>
                <w:sz w:val="20"/>
                <w:szCs w:val="20"/>
              </w:rPr>
              <w:t>0.04</w:t>
            </w:r>
          </w:p>
        </w:tc>
      </w:tr>
      <w:tr w:rsidR="002B0375" w:rsidRPr="00E065CB" w14:paraId="0BB232D5" w14:textId="77777777" w:rsidTr="002C3824">
        <w:trPr>
          <w:trHeight w:val="320"/>
        </w:trPr>
        <w:tc>
          <w:tcPr>
            <w:tcW w:w="3319"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0BB788C1" w14:textId="32890B78" w:rsidR="002B0375" w:rsidRPr="00E065CB" w:rsidRDefault="002B0375" w:rsidP="00B15248">
            <w:pPr>
              <w:spacing w:after="160" w:line="259" w:lineRule="auto"/>
              <w:rPr>
                <w:rFonts w:ascii="Arial" w:hAnsi="Arial" w:cs="Arial"/>
                <w:sz w:val="20"/>
                <w:szCs w:val="20"/>
              </w:rPr>
            </w:pPr>
            <w:r w:rsidRPr="00E065CB">
              <w:rPr>
                <w:rFonts w:ascii="Arial" w:hAnsi="Arial" w:cs="Arial"/>
                <w:sz w:val="20"/>
                <w:szCs w:val="20"/>
              </w:rPr>
              <w:t>REACTOME_HEDGEHOG_LIGAND_BIOGENESIS</w:t>
            </w:r>
          </w:p>
        </w:tc>
        <w:tc>
          <w:tcPr>
            <w:tcW w:w="337"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1B061454" w14:textId="5D081984" w:rsidR="002B0375" w:rsidRPr="00E065CB" w:rsidRDefault="002B0375" w:rsidP="00B15248">
            <w:pPr>
              <w:spacing w:after="160" w:line="259" w:lineRule="auto"/>
              <w:jc w:val="center"/>
              <w:rPr>
                <w:rFonts w:ascii="Arial" w:hAnsi="Arial" w:cs="Arial"/>
                <w:sz w:val="20"/>
                <w:szCs w:val="20"/>
              </w:rPr>
            </w:pPr>
            <w:r w:rsidRPr="00E065CB">
              <w:rPr>
                <w:rFonts w:ascii="Arial" w:hAnsi="Arial" w:cs="Arial"/>
                <w:sz w:val="20"/>
                <w:szCs w:val="20"/>
              </w:rPr>
              <w:t>2.03</w:t>
            </w:r>
          </w:p>
        </w:tc>
        <w:tc>
          <w:tcPr>
            <w:tcW w:w="723"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5346A78B" w14:textId="76795EAD" w:rsidR="002B0375" w:rsidRPr="00E065CB" w:rsidRDefault="002B0375" w:rsidP="00B15248">
            <w:pPr>
              <w:spacing w:after="160" w:line="259" w:lineRule="auto"/>
              <w:jc w:val="center"/>
              <w:rPr>
                <w:rFonts w:ascii="Arial" w:hAnsi="Arial" w:cs="Arial"/>
                <w:sz w:val="20"/>
                <w:szCs w:val="20"/>
              </w:rPr>
            </w:pPr>
            <w:r w:rsidRPr="00E065CB">
              <w:rPr>
                <w:rFonts w:ascii="Arial" w:hAnsi="Arial" w:cs="Arial"/>
                <w:sz w:val="20"/>
                <w:szCs w:val="20"/>
              </w:rPr>
              <w:t>0.00</w:t>
            </w:r>
          </w:p>
        </w:tc>
        <w:tc>
          <w:tcPr>
            <w:tcW w:w="621" w:type="pct"/>
            <w:tcBorders>
              <w:top w:val="single" w:sz="8" w:space="0" w:color="C9C9C9"/>
              <w:left w:val="single" w:sz="8" w:space="0" w:color="C9C9C9"/>
              <w:bottom w:val="single" w:sz="8" w:space="0" w:color="C9C9C9"/>
              <w:right w:val="single" w:sz="8" w:space="0" w:color="C9C9C9"/>
            </w:tcBorders>
            <w:shd w:val="clear" w:color="auto" w:fill="auto"/>
            <w:tcMar>
              <w:top w:w="15" w:type="dxa"/>
              <w:left w:w="15" w:type="dxa"/>
              <w:bottom w:w="0" w:type="dxa"/>
              <w:right w:w="15" w:type="dxa"/>
            </w:tcMar>
            <w:vAlign w:val="bottom"/>
          </w:tcPr>
          <w:p w14:paraId="58964ED8" w14:textId="25ECDD41" w:rsidR="002B0375" w:rsidRPr="00E065CB" w:rsidRDefault="002B0375" w:rsidP="00B15248">
            <w:pPr>
              <w:spacing w:after="160" w:line="259" w:lineRule="auto"/>
              <w:jc w:val="center"/>
              <w:rPr>
                <w:rFonts w:ascii="Arial" w:hAnsi="Arial" w:cs="Arial"/>
                <w:sz w:val="20"/>
                <w:szCs w:val="20"/>
              </w:rPr>
            </w:pPr>
            <w:r w:rsidRPr="00E065CB">
              <w:rPr>
                <w:rFonts w:ascii="Arial" w:hAnsi="Arial" w:cs="Arial"/>
                <w:sz w:val="20"/>
                <w:szCs w:val="20"/>
              </w:rPr>
              <w:t>0.02</w:t>
            </w:r>
          </w:p>
        </w:tc>
      </w:tr>
    </w:tbl>
    <w:p w14:paraId="5AA92E5F" w14:textId="77777777" w:rsidR="002A68BB" w:rsidRPr="00E065CB" w:rsidRDefault="002A68BB" w:rsidP="00C076B1">
      <w:pPr>
        <w:spacing w:after="160" w:line="259" w:lineRule="auto"/>
        <w:rPr>
          <w:rFonts w:ascii="Arial" w:hAnsi="Arial" w:cs="Arial"/>
          <w:b/>
          <w:bCs/>
        </w:rPr>
      </w:pPr>
    </w:p>
    <w:p w14:paraId="09637193" w14:textId="77777777" w:rsidR="002A68BB" w:rsidRPr="00E065CB" w:rsidRDefault="002A68BB" w:rsidP="00C076B1">
      <w:pPr>
        <w:spacing w:after="160" w:line="259" w:lineRule="auto"/>
        <w:rPr>
          <w:rFonts w:ascii="Arial" w:hAnsi="Arial" w:cs="Arial"/>
          <w:b/>
          <w:bCs/>
          <w:lang w:eastAsia="en-GB"/>
        </w:rPr>
      </w:pPr>
    </w:p>
    <w:p w14:paraId="3747B025" w14:textId="77777777" w:rsidR="002A68BB" w:rsidRPr="00E065CB" w:rsidRDefault="002A68BB" w:rsidP="00C076B1">
      <w:pPr>
        <w:spacing w:after="160" w:line="259" w:lineRule="auto"/>
        <w:rPr>
          <w:rFonts w:ascii="Arial" w:hAnsi="Arial" w:cs="Arial"/>
          <w:b/>
          <w:bCs/>
          <w:lang w:eastAsia="en-GB"/>
        </w:rPr>
      </w:pPr>
    </w:p>
    <w:p w14:paraId="5ECF06AF" w14:textId="77777777" w:rsidR="0037379C" w:rsidRPr="00E065CB" w:rsidRDefault="0037379C">
      <w:pPr>
        <w:rPr>
          <w:rFonts w:ascii="Arial" w:hAnsi="Arial" w:cs="Arial"/>
          <w:b/>
          <w:bCs/>
          <w:lang w:eastAsia="en-GB"/>
        </w:rPr>
      </w:pPr>
      <w:r w:rsidRPr="00E065CB">
        <w:rPr>
          <w:rFonts w:ascii="Arial" w:hAnsi="Arial" w:cs="Arial"/>
          <w:b/>
          <w:bCs/>
          <w:lang w:eastAsia="en-GB"/>
        </w:rPr>
        <w:br w:type="page"/>
      </w:r>
    </w:p>
    <w:p w14:paraId="45A5C2A3" w14:textId="1AA8F516" w:rsidR="00C076B1" w:rsidRPr="00E065CB" w:rsidRDefault="00C076B1" w:rsidP="00C076B1">
      <w:pPr>
        <w:spacing w:after="160" w:line="259" w:lineRule="auto"/>
        <w:rPr>
          <w:rFonts w:ascii="Arial" w:hAnsi="Arial" w:cs="Arial"/>
        </w:rPr>
      </w:pPr>
      <w:r w:rsidRPr="00E065CB">
        <w:rPr>
          <w:rFonts w:ascii="Arial" w:hAnsi="Arial" w:cs="Arial"/>
          <w:b/>
          <w:bCs/>
          <w:lang w:eastAsia="en-GB"/>
        </w:rPr>
        <w:t xml:space="preserve">Supplementary table </w:t>
      </w:r>
      <w:r w:rsidR="002A68BB" w:rsidRPr="00E065CB">
        <w:rPr>
          <w:rFonts w:ascii="Arial" w:hAnsi="Arial" w:cs="Arial"/>
          <w:b/>
          <w:bCs/>
        </w:rPr>
        <w:t>5</w:t>
      </w:r>
    </w:p>
    <w:tbl>
      <w:tblPr>
        <w:tblStyle w:val="PlainTable4"/>
        <w:tblpPr w:leftFromText="180" w:rightFromText="180" w:vertAnchor="text" w:horzAnchor="margin" w:tblpY="135"/>
        <w:tblW w:w="0" w:type="auto"/>
        <w:tblLook w:val="04A0" w:firstRow="1" w:lastRow="0" w:firstColumn="1" w:lastColumn="0" w:noHBand="0" w:noVBand="1"/>
      </w:tblPr>
      <w:tblGrid>
        <w:gridCol w:w="1879"/>
        <w:gridCol w:w="3856"/>
        <w:gridCol w:w="3603"/>
      </w:tblGrid>
      <w:tr w:rsidR="00E065CB" w:rsidRPr="00E065CB" w14:paraId="49D90BF3" w14:textId="77777777" w:rsidTr="007539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0328C87A" w14:textId="77777777" w:rsidR="00C076B1" w:rsidRPr="00E065CB" w:rsidRDefault="00C076B1" w:rsidP="00753969">
            <w:pPr>
              <w:spacing w:line="360" w:lineRule="auto"/>
              <w:rPr>
                <w:rFonts w:ascii="Arial" w:hAnsi="Arial" w:cs="Arial"/>
              </w:rPr>
            </w:pPr>
            <w:r w:rsidRPr="00E065CB">
              <w:rPr>
                <w:rFonts w:ascii="Arial" w:hAnsi="Arial" w:cs="Arial"/>
              </w:rPr>
              <w:t>Gene symbol</w:t>
            </w:r>
          </w:p>
        </w:tc>
        <w:tc>
          <w:tcPr>
            <w:tcW w:w="3856" w:type="dxa"/>
          </w:tcPr>
          <w:p w14:paraId="4E9F9AF4" w14:textId="77777777" w:rsidR="00C076B1" w:rsidRPr="00E065CB" w:rsidRDefault="00C076B1" w:rsidP="0075396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E065CB">
              <w:rPr>
                <w:rFonts w:ascii="Arial" w:hAnsi="Arial" w:cs="Arial"/>
              </w:rPr>
              <w:t>Primer forward</w:t>
            </w:r>
          </w:p>
        </w:tc>
        <w:tc>
          <w:tcPr>
            <w:tcW w:w="3603" w:type="dxa"/>
          </w:tcPr>
          <w:p w14:paraId="5C086A0B" w14:textId="77777777" w:rsidR="00C076B1" w:rsidRPr="00E065CB" w:rsidRDefault="00C076B1" w:rsidP="00753969">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E065CB">
              <w:rPr>
                <w:rFonts w:ascii="Arial" w:hAnsi="Arial" w:cs="Arial"/>
              </w:rPr>
              <w:t>Primer reverse</w:t>
            </w:r>
          </w:p>
        </w:tc>
      </w:tr>
      <w:tr w:rsidR="00E065CB" w:rsidRPr="00E065CB" w14:paraId="6ECD7B38" w14:textId="77777777" w:rsidTr="0075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26AC4EF5" w14:textId="77777777" w:rsidR="00C076B1" w:rsidRPr="00E065CB" w:rsidRDefault="00C076B1" w:rsidP="00753969">
            <w:pPr>
              <w:spacing w:line="360" w:lineRule="auto"/>
              <w:rPr>
                <w:rFonts w:ascii="Arial" w:hAnsi="Arial" w:cs="Arial"/>
              </w:rPr>
            </w:pPr>
            <w:r w:rsidRPr="00E065CB">
              <w:rPr>
                <w:rFonts w:ascii="Arial" w:hAnsi="Arial" w:cs="Arial"/>
              </w:rPr>
              <w:t>Mm S9</w:t>
            </w:r>
          </w:p>
        </w:tc>
        <w:tc>
          <w:tcPr>
            <w:tcW w:w="3856" w:type="dxa"/>
          </w:tcPr>
          <w:p w14:paraId="3B5DD323"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065CB">
              <w:rPr>
                <w:rFonts w:ascii="Arial" w:hAnsi="Arial" w:cs="Arial"/>
              </w:rPr>
              <w:t>GGGCCTGAAGATTGAGGATT</w:t>
            </w:r>
          </w:p>
        </w:tc>
        <w:tc>
          <w:tcPr>
            <w:tcW w:w="3603" w:type="dxa"/>
          </w:tcPr>
          <w:p w14:paraId="1979C028"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065CB">
              <w:rPr>
                <w:rFonts w:ascii="Arial" w:hAnsi="Arial" w:cs="Arial"/>
              </w:rPr>
              <w:t>CGGGCATGGTGAATAGATTT</w:t>
            </w:r>
          </w:p>
        </w:tc>
      </w:tr>
      <w:tr w:rsidR="00E065CB" w:rsidRPr="00E065CB" w14:paraId="4DBB149B" w14:textId="77777777" w:rsidTr="00753969">
        <w:tc>
          <w:tcPr>
            <w:cnfStyle w:val="001000000000" w:firstRow="0" w:lastRow="0" w:firstColumn="1" w:lastColumn="0" w:oddVBand="0" w:evenVBand="0" w:oddHBand="0" w:evenHBand="0" w:firstRowFirstColumn="0" w:firstRowLastColumn="0" w:lastRowFirstColumn="0" w:lastRowLastColumn="0"/>
            <w:tcW w:w="1879" w:type="dxa"/>
          </w:tcPr>
          <w:p w14:paraId="5BFD187D" w14:textId="77777777" w:rsidR="00C076B1" w:rsidRPr="00E065CB" w:rsidRDefault="00C076B1" w:rsidP="00753969">
            <w:pPr>
              <w:spacing w:line="360" w:lineRule="auto"/>
              <w:rPr>
                <w:rFonts w:ascii="Arial" w:hAnsi="Arial" w:cs="Arial"/>
              </w:rPr>
            </w:pPr>
            <w:r w:rsidRPr="00E065CB">
              <w:rPr>
                <w:rFonts w:ascii="Arial" w:hAnsi="Arial" w:cs="Arial"/>
              </w:rPr>
              <w:t>Mm CDKN1A</w:t>
            </w:r>
          </w:p>
        </w:tc>
        <w:tc>
          <w:tcPr>
            <w:tcW w:w="3856" w:type="dxa"/>
          </w:tcPr>
          <w:p w14:paraId="17A16B13"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065CB">
              <w:rPr>
                <w:rFonts w:ascii="Arial" w:hAnsi="Arial" w:cs="Arial"/>
              </w:rPr>
              <w:t>AACATCTCAGGGCCGAAA</w:t>
            </w:r>
          </w:p>
        </w:tc>
        <w:tc>
          <w:tcPr>
            <w:tcW w:w="3603" w:type="dxa"/>
          </w:tcPr>
          <w:p w14:paraId="26956E74"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065CB">
              <w:rPr>
                <w:rFonts w:ascii="Arial" w:hAnsi="Arial" w:cs="Arial"/>
              </w:rPr>
              <w:t>TGCGCTTGGAGTGATAGAAA</w:t>
            </w:r>
          </w:p>
        </w:tc>
      </w:tr>
      <w:tr w:rsidR="00E065CB" w:rsidRPr="00E065CB" w14:paraId="05DA50F9" w14:textId="77777777" w:rsidTr="0075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1D126E8E" w14:textId="77777777" w:rsidR="00C076B1" w:rsidRPr="00E065CB" w:rsidRDefault="00C076B1" w:rsidP="00753969">
            <w:pPr>
              <w:spacing w:line="360" w:lineRule="auto"/>
              <w:rPr>
                <w:rFonts w:ascii="Arial" w:hAnsi="Arial" w:cs="Arial"/>
              </w:rPr>
            </w:pPr>
            <w:r w:rsidRPr="00E065CB">
              <w:rPr>
                <w:rFonts w:ascii="Arial" w:hAnsi="Arial" w:cs="Arial"/>
              </w:rPr>
              <w:t>Mm CDKN2A</w:t>
            </w:r>
          </w:p>
        </w:tc>
        <w:tc>
          <w:tcPr>
            <w:tcW w:w="3856" w:type="dxa"/>
          </w:tcPr>
          <w:p w14:paraId="6727F4CE"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065CB">
              <w:rPr>
                <w:rFonts w:ascii="Arial" w:hAnsi="Arial" w:cs="Arial"/>
              </w:rPr>
              <w:t>GCTCTGGCTTTCGTGAACAT</w:t>
            </w:r>
          </w:p>
        </w:tc>
        <w:tc>
          <w:tcPr>
            <w:tcW w:w="3603" w:type="dxa"/>
          </w:tcPr>
          <w:p w14:paraId="02E77E06"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065CB">
              <w:rPr>
                <w:rFonts w:ascii="Arial" w:hAnsi="Arial" w:cs="Arial"/>
              </w:rPr>
              <w:t>GAATCTGCACCGTAGTTGAGC</w:t>
            </w:r>
          </w:p>
        </w:tc>
      </w:tr>
      <w:tr w:rsidR="00E065CB" w:rsidRPr="00E065CB" w14:paraId="6A9CA5AC" w14:textId="77777777" w:rsidTr="00753969">
        <w:tc>
          <w:tcPr>
            <w:cnfStyle w:val="001000000000" w:firstRow="0" w:lastRow="0" w:firstColumn="1" w:lastColumn="0" w:oddVBand="0" w:evenVBand="0" w:oddHBand="0" w:evenHBand="0" w:firstRowFirstColumn="0" w:firstRowLastColumn="0" w:lastRowFirstColumn="0" w:lastRowLastColumn="0"/>
            <w:tcW w:w="1879" w:type="dxa"/>
          </w:tcPr>
          <w:p w14:paraId="23611B0E" w14:textId="77777777" w:rsidR="00C076B1" w:rsidRPr="00E065CB" w:rsidRDefault="00C076B1" w:rsidP="00753969">
            <w:pPr>
              <w:spacing w:line="360" w:lineRule="auto"/>
              <w:rPr>
                <w:rFonts w:ascii="Arial" w:hAnsi="Arial" w:cs="Arial"/>
              </w:rPr>
            </w:pPr>
            <w:r w:rsidRPr="00E065CB">
              <w:rPr>
                <w:rFonts w:ascii="Arial" w:hAnsi="Arial" w:cs="Arial"/>
              </w:rPr>
              <w:t xml:space="preserve">Mm </w:t>
            </w:r>
            <w:proofErr w:type="spellStart"/>
            <w:r w:rsidRPr="00E065CB">
              <w:rPr>
                <w:rFonts w:ascii="Arial" w:hAnsi="Arial" w:cs="Arial"/>
              </w:rPr>
              <w:t>Thbd</w:t>
            </w:r>
            <w:proofErr w:type="spellEnd"/>
          </w:p>
        </w:tc>
        <w:tc>
          <w:tcPr>
            <w:tcW w:w="3856" w:type="dxa"/>
          </w:tcPr>
          <w:p w14:paraId="5F57B434"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065CB">
              <w:rPr>
                <w:rFonts w:ascii="Arial" w:hAnsi="Arial" w:cs="Arial"/>
              </w:rPr>
              <w:t>TAGGGCCCTGGATCGGTTTA</w:t>
            </w:r>
          </w:p>
        </w:tc>
        <w:tc>
          <w:tcPr>
            <w:tcW w:w="3603" w:type="dxa"/>
          </w:tcPr>
          <w:p w14:paraId="42A90E76"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065CB">
              <w:rPr>
                <w:rFonts w:ascii="Arial" w:hAnsi="Arial" w:cs="Arial"/>
              </w:rPr>
              <w:t>GGATCGCGAGTATTCACCGT</w:t>
            </w:r>
          </w:p>
        </w:tc>
      </w:tr>
      <w:tr w:rsidR="00E065CB" w:rsidRPr="00E065CB" w14:paraId="3F9AF0C9" w14:textId="77777777" w:rsidTr="0075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168CAB67" w14:textId="77777777" w:rsidR="00C076B1" w:rsidRPr="00E065CB" w:rsidRDefault="00C076B1" w:rsidP="00753969">
            <w:pPr>
              <w:spacing w:line="360" w:lineRule="auto"/>
            </w:pPr>
            <w:r w:rsidRPr="00E065CB">
              <w:t>Mm PAR1</w:t>
            </w:r>
          </w:p>
        </w:tc>
        <w:tc>
          <w:tcPr>
            <w:tcW w:w="3856" w:type="dxa"/>
          </w:tcPr>
          <w:p w14:paraId="2D9841D2"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pPr>
            <w:r w:rsidRPr="00E065CB">
              <w:t>GCGGGCAGCCTTGGGACAAT</w:t>
            </w:r>
          </w:p>
        </w:tc>
        <w:tc>
          <w:tcPr>
            <w:tcW w:w="3603" w:type="dxa"/>
          </w:tcPr>
          <w:p w14:paraId="4521DFFE"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pPr>
            <w:r w:rsidRPr="00E065CB">
              <w:t>ATGAAGGGAGGAGGCGGCGT</w:t>
            </w:r>
          </w:p>
        </w:tc>
      </w:tr>
      <w:tr w:rsidR="00E065CB" w:rsidRPr="00E065CB" w14:paraId="121FC775" w14:textId="77777777" w:rsidTr="00753969">
        <w:tc>
          <w:tcPr>
            <w:cnfStyle w:val="001000000000" w:firstRow="0" w:lastRow="0" w:firstColumn="1" w:lastColumn="0" w:oddVBand="0" w:evenVBand="0" w:oddHBand="0" w:evenHBand="0" w:firstRowFirstColumn="0" w:firstRowLastColumn="0" w:lastRowFirstColumn="0" w:lastRowLastColumn="0"/>
            <w:tcW w:w="1879" w:type="dxa"/>
          </w:tcPr>
          <w:p w14:paraId="36141CDF" w14:textId="77777777" w:rsidR="00C076B1" w:rsidRPr="00E065CB" w:rsidRDefault="00C076B1" w:rsidP="00753969">
            <w:pPr>
              <w:spacing w:line="360" w:lineRule="auto"/>
            </w:pPr>
            <w:r w:rsidRPr="00E065CB">
              <w:t>Mm FoxM1</w:t>
            </w:r>
          </w:p>
        </w:tc>
        <w:tc>
          <w:tcPr>
            <w:tcW w:w="3856" w:type="dxa"/>
          </w:tcPr>
          <w:p w14:paraId="3CA46649"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pPr>
            <w:r w:rsidRPr="00E065CB">
              <w:t>TGATAGCCTCAGCAAGATCC</w:t>
            </w:r>
          </w:p>
        </w:tc>
        <w:tc>
          <w:tcPr>
            <w:tcW w:w="3603" w:type="dxa"/>
          </w:tcPr>
          <w:p w14:paraId="09F4DF1B"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pPr>
            <w:r w:rsidRPr="00E065CB">
              <w:t>CTATCGCAGCTAACCGATGA</w:t>
            </w:r>
          </w:p>
        </w:tc>
      </w:tr>
      <w:tr w:rsidR="00E065CB" w:rsidRPr="00E065CB" w14:paraId="426757C2" w14:textId="77777777" w:rsidTr="0075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68339344" w14:textId="77777777" w:rsidR="00C076B1" w:rsidRPr="00E065CB" w:rsidRDefault="00C076B1" w:rsidP="00753969">
            <w:pPr>
              <w:spacing w:line="360" w:lineRule="auto"/>
            </w:pPr>
            <w:r w:rsidRPr="00E065CB">
              <w:t>Mm ACTA2</w:t>
            </w:r>
          </w:p>
        </w:tc>
        <w:tc>
          <w:tcPr>
            <w:tcW w:w="3856" w:type="dxa"/>
          </w:tcPr>
          <w:p w14:paraId="1DA587A6"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pPr>
            <w:r w:rsidRPr="00E065CB">
              <w:t>TCAGGGAGTAATGGTTGGAATG</w:t>
            </w:r>
          </w:p>
        </w:tc>
        <w:tc>
          <w:tcPr>
            <w:tcW w:w="3603" w:type="dxa"/>
          </w:tcPr>
          <w:p w14:paraId="7251AD04"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pPr>
            <w:r w:rsidRPr="00E065CB">
              <w:t>GGTGATGATGCCGTGTTCTA</w:t>
            </w:r>
          </w:p>
        </w:tc>
      </w:tr>
      <w:tr w:rsidR="00E065CB" w:rsidRPr="00E065CB" w14:paraId="135C7C63" w14:textId="77777777" w:rsidTr="00753969">
        <w:tc>
          <w:tcPr>
            <w:cnfStyle w:val="001000000000" w:firstRow="0" w:lastRow="0" w:firstColumn="1" w:lastColumn="0" w:oddVBand="0" w:evenVBand="0" w:oddHBand="0" w:evenHBand="0" w:firstRowFirstColumn="0" w:firstRowLastColumn="0" w:lastRowFirstColumn="0" w:lastRowLastColumn="0"/>
            <w:tcW w:w="1879" w:type="dxa"/>
          </w:tcPr>
          <w:p w14:paraId="119E7722" w14:textId="77777777" w:rsidR="00C076B1" w:rsidRPr="00E065CB" w:rsidRDefault="00C076B1" w:rsidP="00753969">
            <w:pPr>
              <w:spacing w:line="360" w:lineRule="auto"/>
            </w:pPr>
            <w:r w:rsidRPr="00E065CB">
              <w:t>Mm TGFb1</w:t>
            </w:r>
          </w:p>
        </w:tc>
        <w:tc>
          <w:tcPr>
            <w:tcW w:w="3856" w:type="dxa"/>
          </w:tcPr>
          <w:p w14:paraId="074D1C09"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pPr>
            <w:r w:rsidRPr="00E065CB">
              <w:t>AGCTGCGCTTGCAGAGATTA</w:t>
            </w:r>
          </w:p>
        </w:tc>
        <w:tc>
          <w:tcPr>
            <w:tcW w:w="3603" w:type="dxa"/>
          </w:tcPr>
          <w:p w14:paraId="34394017"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pPr>
            <w:r w:rsidRPr="00E065CB">
              <w:t>AGCCCTGTATTCCGTCTCCT</w:t>
            </w:r>
          </w:p>
        </w:tc>
      </w:tr>
      <w:tr w:rsidR="00E065CB" w:rsidRPr="00E065CB" w14:paraId="03F95EAA" w14:textId="77777777" w:rsidTr="0075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5E1CA71F" w14:textId="77777777" w:rsidR="00C076B1" w:rsidRPr="00E065CB" w:rsidRDefault="00C076B1" w:rsidP="00753969">
            <w:pPr>
              <w:spacing w:line="360" w:lineRule="auto"/>
            </w:pPr>
            <w:r w:rsidRPr="00E065CB">
              <w:t>Mm Cyclin D1</w:t>
            </w:r>
          </w:p>
        </w:tc>
        <w:tc>
          <w:tcPr>
            <w:tcW w:w="3856" w:type="dxa"/>
          </w:tcPr>
          <w:p w14:paraId="0C444335"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pPr>
            <w:r w:rsidRPr="00E065CB">
              <w:t>TAGGCCCTCAGCCTCACTC</w:t>
            </w:r>
          </w:p>
        </w:tc>
        <w:tc>
          <w:tcPr>
            <w:tcW w:w="3603" w:type="dxa"/>
          </w:tcPr>
          <w:p w14:paraId="31D2EDCB" w14:textId="77777777" w:rsidR="00C076B1" w:rsidRPr="00E065CB" w:rsidRDefault="00C076B1" w:rsidP="00753969">
            <w:pPr>
              <w:spacing w:line="360" w:lineRule="auto"/>
              <w:cnfStyle w:val="000000100000" w:firstRow="0" w:lastRow="0" w:firstColumn="0" w:lastColumn="0" w:oddVBand="0" w:evenVBand="0" w:oddHBand="1" w:evenHBand="0" w:firstRowFirstColumn="0" w:firstRowLastColumn="0" w:lastRowFirstColumn="0" w:lastRowLastColumn="0"/>
            </w:pPr>
            <w:r w:rsidRPr="00E065CB">
              <w:t>CCACCCCTGGGATAAAGCAC</w:t>
            </w:r>
          </w:p>
        </w:tc>
      </w:tr>
      <w:tr w:rsidR="00E065CB" w:rsidRPr="00E065CB" w14:paraId="6859B89A" w14:textId="77777777" w:rsidTr="00753969">
        <w:tc>
          <w:tcPr>
            <w:cnfStyle w:val="001000000000" w:firstRow="0" w:lastRow="0" w:firstColumn="1" w:lastColumn="0" w:oddVBand="0" w:evenVBand="0" w:oddHBand="0" w:evenHBand="0" w:firstRowFirstColumn="0" w:firstRowLastColumn="0" w:lastRowFirstColumn="0" w:lastRowLastColumn="0"/>
            <w:tcW w:w="1879" w:type="dxa"/>
          </w:tcPr>
          <w:p w14:paraId="10B1520A" w14:textId="77777777" w:rsidR="00C076B1" w:rsidRPr="00E065CB" w:rsidRDefault="00C076B1" w:rsidP="00753969">
            <w:pPr>
              <w:spacing w:line="360" w:lineRule="auto"/>
            </w:pPr>
            <w:r w:rsidRPr="00E065CB">
              <w:t>Mm Shh</w:t>
            </w:r>
          </w:p>
        </w:tc>
        <w:tc>
          <w:tcPr>
            <w:tcW w:w="3856" w:type="dxa"/>
          </w:tcPr>
          <w:p w14:paraId="7DA4F889"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pPr>
            <w:r w:rsidRPr="00E065CB">
              <w:t>CTGGCCAGATGTTTTCTGGT</w:t>
            </w:r>
          </w:p>
        </w:tc>
        <w:tc>
          <w:tcPr>
            <w:tcW w:w="3603" w:type="dxa"/>
          </w:tcPr>
          <w:p w14:paraId="3CDF94BC" w14:textId="77777777" w:rsidR="00C076B1" w:rsidRPr="00E065CB" w:rsidRDefault="00C076B1" w:rsidP="00753969">
            <w:pPr>
              <w:spacing w:line="360" w:lineRule="auto"/>
              <w:cnfStyle w:val="000000000000" w:firstRow="0" w:lastRow="0" w:firstColumn="0" w:lastColumn="0" w:oddVBand="0" w:evenVBand="0" w:oddHBand="0" w:evenHBand="0" w:firstRowFirstColumn="0" w:firstRowLastColumn="0" w:lastRowFirstColumn="0" w:lastRowLastColumn="0"/>
            </w:pPr>
            <w:r w:rsidRPr="00E065CB">
              <w:t>TAAAGGGGTCAGCTTTTTGG</w:t>
            </w:r>
          </w:p>
        </w:tc>
      </w:tr>
    </w:tbl>
    <w:p w14:paraId="0FF829BD" w14:textId="77777777" w:rsidR="00A4675B" w:rsidRPr="00E065CB" w:rsidRDefault="00A4675B"/>
    <w:p w14:paraId="7D9D167C" w14:textId="0E7493DA" w:rsidR="00A4675B" w:rsidRPr="00E065CB" w:rsidRDefault="00A4675B"/>
    <w:p w14:paraId="0C10D805" w14:textId="77777777" w:rsidR="0037379C" w:rsidRPr="00E065CB" w:rsidRDefault="0037379C">
      <w:pPr>
        <w:rPr>
          <w:rFonts w:ascii="Arial" w:hAnsi="Arial" w:cs="Arial"/>
          <w:b/>
          <w:bCs/>
          <w:lang w:eastAsia="en-GB"/>
        </w:rPr>
      </w:pPr>
      <w:r w:rsidRPr="00E065CB">
        <w:rPr>
          <w:rFonts w:ascii="Arial" w:hAnsi="Arial" w:cs="Arial"/>
          <w:b/>
          <w:bCs/>
          <w:lang w:eastAsia="en-GB"/>
        </w:rPr>
        <w:br w:type="page"/>
      </w:r>
    </w:p>
    <w:p w14:paraId="4F08991F" w14:textId="47406288" w:rsidR="00A4675B" w:rsidRPr="00E065CB" w:rsidRDefault="00A4675B" w:rsidP="00A4675B">
      <w:pPr>
        <w:spacing w:after="160" w:line="259" w:lineRule="auto"/>
        <w:rPr>
          <w:rFonts w:ascii="Arial" w:hAnsi="Arial" w:cs="Arial"/>
        </w:rPr>
      </w:pPr>
      <w:r w:rsidRPr="00E065CB">
        <w:rPr>
          <w:rFonts w:ascii="Arial" w:hAnsi="Arial" w:cs="Arial"/>
          <w:b/>
          <w:bCs/>
          <w:lang w:eastAsia="en-GB"/>
        </w:rPr>
        <w:t>Supplementary References</w:t>
      </w:r>
    </w:p>
    <w:p w14:paraId="0C1B0086" w14:textId="02EFD5B9" w:rsidR="00A4675B" w:rsidRPr="00E065CB" w:rsidRDefault="00A4675B"/>
    <w:p w14:paraId="45E6C0CC" w14:textId="77777777" w:rsidR="00A4675B" w:rsidRPr="00E065CB" w:rsidRDefault="00A4675B"/>
    <w:p w14:paraId="5479C1FE" w14:textId="77777777" w:rsidR="00A4675B" w:rsidRPr="00E065CB" w:rsidRDefault="00A4675B" w:rsidP="006F63EF">
      <w:pPr>
        <w:pStyle w:val="EndNoteBibliography"/>
        <w:jc w:val="both"/>
        <w:rPr>
          <w:rFonts w:ascii="Arial" w:hAnsi="Arial" w:cs="Arial"/>
          <w:noProof/>
        </w:rPr>
      </w:pPr>
      <w:r w:rsidRPr="00E065CB">
        <w:rPr>
          <w:rFonts w:ascii="Arial" w:hAnsi="Arial" w:cs="Arial"/>
        </w:rPr>
        <w:fldChar w:fldCharType="begin"/>
      </w:r>
      <w:r w:rsidRPr="00E065CB">
        <w:rPr>
          <w:rFonts w:ascii="Arial" w:hAnsi="Arial" w:cs="Arial"/>
        </w:rPr>
        <w:instrText xml:space="preserve"> ADDIN EN.REFLIST </w:instrText>
      </w:r>
      <w:r w:rsidRPr="00E065CB">
        <w:rPr>
          <w:rFonts w:ascii="Arial" w:hAnsi="Arial" w:cs="Arial"/>
        </w:rPr>
        <w:fldChar w:fldCharType="separate"/>
      </w:r>
      <w:r w:rsidRPr="00E065CB">
        <w:rPr>
          <w:rFonts w:ascii="Arial" w:hAnsi="Arial" w:cs="Arial"/>
          <w:noProof/>
        </w:rPr>
        <w:t>1.</w:t>
      </w:r>
      <w:r w:rsidRPr="00E065CB">
        <w:rPr>
          <w:rFonts w:ascii="Arial" w:hAnsi="Arial" w:cs="Arial"/>
          <w:noProof/>
        </w:rPr>
        <w:tab/>
        <w:t>Brunt EM, Kleiner DE, Wilson LA, Belt P, Neuschwander-Tetri BA, Network NCR. Nonalcoholic fatty liver disease (NAFLD) activity score and the histopathologic diagnosis in NAFLD: distinct clinicopathologic meanings. Hepatology. 2011;53(3):810-20.</w:t>
      </w:r>
    </w:p>
    <w:p w14:paraId="0B4E1040" w14:textId="77777777" w:rsidR="00A4675B" w:rsidRPr="00E065CB" w:rsidRDefault="00A4675B" w:rsidP="006F63EF">
      <w:pPr>
        <w:pStyle w:val="EndNoteBibliography"/>
        <w:jc w:val="both"/>
        <w:rPr>
          <w:rFonts w:ascii="Arial" w:hAnsi="Arial" w:cs="Arial"/>
          <w:noProof/>
        </w:rPr>
      </w:pPr>
      <w:r w:rsidRPr="00E065CB">
        <w:rPr>
          <w:rFonts w:ascii="Arial" w:hAnsi="Arial" w:cs="Arial"/>
          <w:noProof/>
        </w:rPr>
        <w:t>2.</w:t>
      </w:r>
      <w:r w:rsidRPr="00E065CB">
        <w:rPr>
          <w:rFonts w:ascii="Arial" w:hAnsi="Arial" w:cs="Arial"/>
          <w:noProof/>
        </w:rPr>
        <w:tab/>
        <w:t>Chen T, Dalton G, Oh SH, Maeso-Diaz R, Du K, Meyers RA, et al. Hepatocyte Smoothened Activity Controls Susceptibility to Insulin Resistance and Nonalcoholic Fatty Liver Disease. Cell Mol Gastroenterol Hepatol. 2022.</w:t>
      </w:r>
    </w:p>
    <w:p w14:paraId="6351C4D4" w14:textId="77777777" w:rsidR="00A4675B" w:rsidRPr="00E065CB" w:rsidRDefault="00A4675B" w:rsidP="006F63EF">
      <w:pPr>
        <w:pStyle w:val="EndNoteBibliography"/>
        <w:jc w:val="both"/>
        <w:rPr>
          <w:rFonts w:ascii="Arial" w:hAnsi="Arial" w:cs="Arial"/>
          <w:noProof/>
        </w:rPr>
      </w:pPr>
      <w:r w:rsidRPr="00E065CB">
        <w:rPr>
          <w:rFonts w:ascii="Arial" w:hAnsi="Arial" w:cs="Arial"/>
          <w:noProof/>
        </w:rPr>
        <w:t>3.</w:t>
      </w:r>
      <w:r w:rsidRPr="00E065CB">
        <w:rPr>
          <w:rFonts w:ascii="Arial" w:hAnsi="Arial" w:cs="Arial"/>
          <w:noProof/>
        </w:rPr>
        <w:tab/>
        <w:t>Wang J, Mook RA, Jr., Lu J, Gooden DM, Ribeiro A, Guo A, et al. Identification of a novel Smoothened antagonist that potently suppresses Hedgehog signaling. Bioorg Med Chem. 2012;20(22):6751-7.</w:t>
      </w:r>
    </w:p>
    <w:p w14:paraId="2EFC4D7C" w14:textId="321ED157" w:rsidR="00F47851" w:rsidRPr="00E065CB" w:rsidRDefault="00A4675B" w:rsidP="006F63EF">
      <w:pPr>
        <w:jc w:val="both"/>
      </w:pPr>
      <w:r w:rsidRPr="00E065CB">
        <w:rPr>
          <w:rFonts w:ascii="Arial" w:hAnsi="Arial" w:cs="Arial"/>
        </w:rPr>
        <w:fldChar w:fldCharType="end"/>
      </w:r>
    </w:p>
    <w:sectPr w:rsidR="00F47851" w:rsidRPr="00E0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gacySerifStd-Book">
    <w:altName w:val="MS Gothic"/>
    <w:charset w:val="80"/>
    <w:family w:val="roman"/>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0twaexbx2zfyezz5rxdvdhf52zspwe0evz&quot;&gt;Vorapaxar NAFLD references&lt;record-ids&gt;&lt;item&gt;13&lt;/item&gt;&lt;item&gt;51&lt;/item&gt;&lt;item&gt;52&lt;/item&gt;&lt;/record-ids&gt;&lt;/item&gt;&lt;/Libraries&gt;"/>
  </w:docVars>
  <w:rsids>
    <w:rsidRoot w:val="00C076B1"/>
    <w:rsid w:val="000749BC"/>
    <w:rsid w:val="00074C88"/>
    <w:rsid w:val="00084037"/>
    <w:rsid w:val="000C0ACD"/>
    <w:rsid w:val="000E3069"/>
    <w:rsid w:val="000E5704"/>
    <w:rsid w:val="000F0637"/>
    <w:rsid w:val="000F7D3A"/>
    <w:rsid w:val="00102338"/>
    <w:rsid w:val="00161B07"/>
    <w:rsid w:val="00186A49"/>
    <w:rsid w:val="001A1CFE"/>
    <w:rsid w:val="001A796F"/>
    <w:rsid w:val="001B1D96"/>
    <w:rsid w:val="00255181"/>
    <w:rsid w:val="002730C1"/>
    <w:rsid w:val="0028443E"/>
    <w:rsid w:val="002879AF"/>
    <w:rsid w:val="0029157D"/>
    <w:rsid w:val="002935E9"/>
    <w:rsid w:val="002A68BB"/>
    <w:rsid w:val="002B0375"/>
    <w:rsid w:val="002B1E15"/>
    <w:rsid w:val="002C3824"/>
    <w:rsid w:val="003239D6"/>
    <w:rsid w:val="0036297B"/>
    <w:rsid w:val="0036336B"/>
    <w:rsid w:val="003728B2"/>
    <w:rsid w:val="0037379C"/>
    <w:rsid w:val="003A5889"/>
    <w:rsid w:val="003E0F8F"/>
    <w:rsid w:val="0042211B"/>
    <w:rsid w:val="00447B96"/>
    <w:rsid w:val="00483F26"/>
    <w:rsid w:val="004A2FFC"/>
    <w:rsid w:val="004D2D19"/>
    <w:rsid w:val="005002E3"/>
    <w:rsid w:val="00525E2E"/>
    <w:rsid w:val="00556166"/>
    <w:rsid w:val="005853CF"/>
    <w:rsid w:val="005903A3"/>
    <w:rsid w:val="00595515"/>
    <w:rsid w:val="005E0DC3"/>
    <w:rsid w:val="005E35B1"/>
    <w:rsid w:val="005E7792"/>
    <w:rsid w:val="005F1119"/>
    <w:rsid w:val="00626417"/>
    <w:rsid w:val="006343A5"/>
    <w:rsid w:val="00650105"/>
    <w:rsid w:val="00667DCF"/>
    <w:rsid w:val="006A2B4C"/>
    <w:rsid w:val="006E3E5F"/>
    <w:rsid w:val="006F63EF"/>
    <w:rsid w:val="00701B39"/>
    <w:rsid w:val="007443B5"/>
    <w:rsid w:val="007705B5"/>
    <w:rsid w:val="007E1442"/>
    <w:rsid w:val="007F25FC"/>
    <w:rsid w:val="007F69C8"/>
    <w:rsid w:val="008140B0"/>
    <w:rsid w:val="00840473"/>
    <w:rsid w:val="0084127E"/>
    <w:rsid w:val="0087298C"/>
    <w:rsid w:val="008A1914"/>
    <w:rsid w:val="008B5BDA"/>
    <w:rsid w:val="008F6FE5"/>
    <w:rsid w:val="00901888"/>
    <w:rsid w:val="00920644"/>
    <w:rsid w:val="00925C0C"/>
    <w:rsid w:val="0095514C"/>
    <w:rsid w:val="009656AC"/>
    <w:rsid w:val="00981795"/>
    <w:rsid w:val="009A18B7"/>
    <w:rsid w:val="009B02B3"/>
    <w:rsid w:val="009C3833"/>
    <w:rsid w:val="00A02F2B"/>
    <w:rsid w:val="00A2047F"/>
    <w:rsid w:val="00A4675B"/>
    <w:rsid w:val="00A756CB"/>
    <w:rsid w:val="00A938FD"/>
    <w:rsid w:val="00AA2D25"/>
    <w:rsid w:val="00B36847"/>
    <w:rsid w:val="00B74B38"/>
    <w:rsid w:val="00B82105"/>
    <w:rsid w:val="00B9029F"/>
    <w:rsid w:val="00BD4DD7"/>
    <w:rsid w:val="00BE499C"/>
    <w:rsid w:val="00C076B1"/>
    <w:rsid w:val="00C269F0"/>
    <w:rsid w:val="00C376C0"/>
    <w:rsid w:val="00C4224F"/>
    <w:rsid w:val="00C911A7"/>
    <w:rsid w:val="00CB7179"/>
    <w:rsid w:val="00CC738B"/>
    <w:rsid w:val="00D12CD0"/>
    <w:rsid w:val="00D34308"/>
    <w:rsid w:val="00D34529"/>
    <w:rsid w:val="00DA13F7"/>
    <w:rsid w:val="00DA5083"/>
    <w:rsid w:val="00DD1640"/>
    <w:rsid w:val="00DF1285"/>
    <w:rsid w:val="00E065CB"/>
    <w:rsid w:val="00E61474"/>
    <w:rsid w:val="00E84318"/>
    <w:rsid w:val="00EA31EC"/>
    <w:rsid w:val="00ED3C73"/>
    <w:rsid w:val="00EE5B7D"/>
    <w:rsid w:val="00EF6D32"/>
    <w:rsid w:val="00F00F3E"/>
    <w:rsid w:val="00F02BF4"/>
    <w:rsid w:val="00F07464"/>
    <w:rsid w:val="00F07AC1"/>
    <w:rsid w:val="00F14C26"/>
    <w:rsid w:val="00F36A1A"/>
    <w:rsid w:val="00F47851"/>
    <w:rsid w:val="00F51A58"/>
    <w:rsid w:val="00F533DF"/>
    <w:rsid w:val="00F60016"/>
    <w:rsid w:val="00F65AFD"/>
    <w:rsid w:val="00F87888"/>
    <w:rsid w:val="00F94E97"/>
    <w:rsid w:val="00F96650"/>
    <w:rsid w:val="00FD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EE25"/>
  <w15:chartTrackingRefBased/>
  <w15:docId w15:val="{A0BC0952-8D9C-8643-B8D4-1BD77FAF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C076B1"/>
    <w:rPr>
      <w:rFonts w:eastAsia="SimSu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
    <w:name w:val="p"/>
    <w:basedOn w:val="Normal"/>
    <w:link w:val="pChar"/>
    <w:rsid w:val="00EF6D32"/>
    <w:pPr>
      <w:spacing w:before="100" w:beforeAutospacing="1" w:after="100" w:afterAutospacing="1"/>
    </w:pPr>
    <w:rPr>
      <w:lang w:eastAsia="ko-KR"/>
    </w:rPr>
  </w:style>
  <w:style w:type="character" w:customStyle="1" w:styleId="pChar">
    <w:name w:val="p Char"/>
    <w:basedOn w:val="DefaultParagraphFont"/>
    <w:link w:val="p"/>
    <w:rsid w:val="00EF6D32"/>
    <w:rPr>
      <w:rFonts w:ascii="Times New Roman" w:eastAsia="Times New Roman" w:hAnsi="Times New Roman" w:cs="Times New Roman"/>
      <w:lang w:eastAsia="ko-KR"/>
    </w:rPr>
  </w:style>
  <w:style w:type="character" w:styleId="Emphasis">
    <w:name w:val="Emphasis"/>
    <w:basedOn w:val="DefaultParagraphFont"/>
    <w:uiPriority w:val="20"/>
    <w:qFormat/>
    <w:rsid w:val="00EF6D32"/>
    <w:rPr>
      <w:i/>
      <w:iCs/>
    </w:rPr>
  </w:style>
  <w:style w:type="paragraph" w:styleId="BalloonText">
    <w:name w:val="Balloon Text"/>
    <w:basedOn w:val="Normal"/>
    <w:link w:val="BalloonTextChar"/>
    <w:uiPriority w:val="99"/>
    <w:semiHidden/>
    <w:unhideWhenUsed/>
    <w:rsid w:val="00626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417"/>
    <w:rPr>
      <w:rFonts w:ascii="Segoe UI" w:eastAsia="Times New Roman" w:hAnsi="Segoe UI" w:cs="Segoe UI"/>
      <w:sz w:val="18"/>
      <w:szCs w:val="18"/>
    </w:rPr>
  </w:style>
  <w:style w:type="paragraph" w:customStyle="1" w:styleId="EndNoteBibliographyTitle">
    <w:name w:val="EndNote Bibliography Title"/>
    <w:basedOn w:val="Normal"/>
    <w:link w:val="EndNoteBibliographyTitleChar"/>
    <w:rsid w:val="00A4675B"/>
    <w:pPr>
      <w:jc w:val="center"/>
    </w:pPr>
  </w:style>
  <w:style w:type="character" w:customStyle="1" w:styleId="EndNoteBibliographyTitleChar">
    <w:name w:val="EndNote Bibliography Title Char"/>
    <w:basedOn w:val="DefaultParagraphFont"/>
    <w:link w:val="EndNoteBibliographyTitle"/>
    <w:rsid w:val="00A4675B"/>
    <w:rPr>
      <w:rFonts w:ascii="Times New Roman" w:eastAsia="Times New Roman" w:hAnsi="Times New Roman" w:cs="Times New Roman"/>
    </w:rPr>
  </w:style>
  <w:style w:type="paragraph" w:customStyle="1" w:styleId="EndNoteBibliography">
    <w:name w:val="EndNote Bibliography"/>
    <w:basedOn w:val="Normal"/>
    <w:link w:val="EndNoteBibliographyChar"/>
    <w:rsid w:val="00A4675B"/>
  </w:style>
  <w:style w:type="character" w:customStyle="1" w:styleId="EndNoteBibliographyChar">
    <w:name w:val="EndNote Bibliography Char"/>
    <w:basedOn w:val="DefaultParagraphFont"/>
    <w:link w:val="EndNoteBibliography"/>
    <w:rsid w:val="00A4675B"/>
    <w:rPr>
      <w:rFonts w:ascii="Times New Roman" w:eastAsia="Times New Roman" w:hAnsi="Times New Roman" w:cs="Times New Roman"/>
    </w:rPr>
  </w:style>
  <w:style w:type="paragraph" w:styleId="Revision">
    <w:name w:val="Revision"/>
    <w:hidden/>
    <w:uiPriority w:val="99"/>
    <w:semiHidden/>
    <w:rsid w:val="002B03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4EA4453D0CF4F8778EE4578C55941" ma:contentTypeVersion="15" ma:contentTypeDescription="Create a new document." ma:contentTypeScope="" ma:versionID="6c8bcb631bc5a44871dca13d32c69189">
  <xsd:schema xmlns:xsd="http://www.w3.org/2001/XMLSchema" xmlns:xs="http://www.w3.org/2001/XMLSchema" xmlns:p="http://schemas.microsoft.com/office/2006/metadata/properties" xmlns:ns2="7703c50d-f851-412a-a9a7-d373c4b5fce4" xmlns:ns3="bcd09660-be93-4bd9-869c-f45048cb599a" targetNamespace="http://schemas.microsoft.com/office/2006/metadata/properties" ma:root="true" ma:fieldsID="8fc1418c02843e7b7631cb1df008d918" ns2:_="" ns3:_="">
    <xsd:import namespace="7703c50d-f851-412a-a9a7-d373c4b5fce4"/>
    <xsd:import namespace="bcd09660-be93-4bd9-869c-f45048cb59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3c50d-f851-412a-a9a7-d373c4b5f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e24f7-0383-4be0-b1b9-c152641787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09660-be93-4bd9-869c-f45048cb59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693e1a-a1d9-4602-97ea-88e565efeaa8}" ma:internalName="TaxCatchAll" ma:showField="CatchAllData" ma:web="bcd09660-be93-4bd9-869c-f45048cb59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14BED-AF62-4A64-8EAE-2B684EC45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3c50d-f851-412a-a9a7-d373c4b5fce4"/>
    <ds:schemaRef ds:uri="bcd09660-be93-4bd9-869c-f45048cb5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28913-DA98-4BC7-BDCC-CFD7D404D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2617</Words>
  <Characters>14917</Characters>
  <Application>Microsoft Office Word</Application>
  <DocSecurity>0</DocSecurity>
  <Lines>452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Maeso-Diaz, Ph.D.</dc:creator>
  <cp:keywords/>
  <dc:description/>
  <cp:lastModifiedBy>Emili Malatesta</cp:lastModifiedBy>
  <cp:revision>7</cp:revision>
  <dcterms:created xsi:type="dcterms:W3CDTF">2023-03-20T17:54:00Z</dcterms:created>
  <dcterms:modified xsi:type="dcterms:W3CDTF">2023-04-03T18:24:00Z</dcterms:modified>
</cp:coreProperties>
</file>