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B23" w:rsidRDefault="00B06B23" w:rsidP="00E4786F">
      <w:pPr>
        <w:spacing w:line="480" w:lineRule="auto"/>
        <w:rPr>
          <w:b/>
        </w:rPr>
      </w:pPr>
      <w:r w:rsidRPr="00B06B23">
        <w:rPr>
          <w:b/>
        </w:rPr>
        <w:t>Supplemental Content</w:t>
      </w:r>
    </w:p>
    <w:p w:rsidR="00B06B23" w:rsidRPr="00B06B23" w:rsidRDefault="00B06B23" w:rsidP="00E4786F">
      <w:pPr>
        <w:spacing w:line="480" w:lineRule="auto"/>
        <w:rPr>
          <w:b/>
        </w:rPr>
      </w:pPr>
    </w:p>
    <w:p w:rsidR="00E4786F" w:rsidRPr="001065E5" w:rsidRDefault="001C2878" w:rsidP="00E4786F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Chemical </w:t>
      </w:r>
      <w:r w:rsidR="00274D12">
        <w:rPr>
          <w:b/>
          <w:bCs/>
          <w:lang w:val="en-US"/>
        </w:rPr>
        <w:t>A</w:t>
      </w:r>
      <w:r>
        <w:rPr>
          <w:b/>
          <w:bCs/>
          <w:lang w:val="en-US"/>
        </w:rPr>
        <w:t xml:space="preserve">nalysis of the </w:t>
      </w:r>
      <w:r w:rsidR="00274D12">
        <w:rPr>
          <w:b/>
          <w:bCs/>
          <w:lang w:val="en-US"/>
        </w:rPr>
        <w:t>A</w:t>
      </w:r>
      <w:r w:rsidR="00EA7735">
        <w:rPr>
          <w:b/>
          <w:bCs/>
          <w:lang w:val="en-US"/>
        </w:rPr>
        <w:t xml:space="preserve">yahuasca </w:t>
      </w:r>
      <w:r w:rsidR="00274D12">
        <w:rPr>
          <w:b/>
          <w:bCs/>
          <w:lang w:val="en-US"/>
        </w:rPr>
        <w:t>S</w:t>
      </w:r>
      <w:r>
        <w:rPr>
          <w:b/>
          <w:bCs/>
          <w:lang w:val="en-US"/>
        </w:rPr>
        <w:t>ample</w:t>
      </w:r>
    </w:p>
    <w:p w:rsidR="00EA7735" w:rsidRPr="00C3566D" w:rsidRDefault="00EA7735" w:rsidP="00EA7735">
      <w:pPr>
        <w:spacing w:line="480" w:lineRule="auto"/>
        <w:rPr>
          <w:bCs/>
          <w:i/>
          <w:lang w:val="en-US"/>
        </w:rPr>
      </w:pPr>
      <w:r w:rsidRPr="00C3566D">
        <w:rPr>
          <w:bCs/>
          <w:i/>
          <w:lang w:val="en-US"/>
        </w:rPr>
        <w:t>Ayahuasca sample extraction</w:t>
      </w:r>
    </w:p>
    <w:p w:rsidR="00EA7735" w:rsidRPr="00EA7735" w:rsidRDefault="00EA7735" w:rsidP="00EA7735">
      <w:pPr>
        <w:spacing w:line="480" w:lineRule="auto"/>
        <w:rPr>
          <w:bCs/>
          <w:lang w:val="en-US"/>
        </w:rPr>
      </w:pPr>
      <w:r w:rsidRPr="00EA7735">
        <w:rPr>
          <w:bCs/>
          <w:lang w:val="en-US"/>
        </w:rPr>
        <w:t xml:space="preserve">The extraction was performed according to the procedure described by Pires et </w:t>
      </w:r>
      <w:r w:rsidRPr="00257558">
        <w:rPr>
          <w:bCs/>
          <w:lang w:val="en-US"/>
        </w:rPr>
        <w:t>al.</w:t>
      </w:r>
      <w:r w:rsidR="008341DC">
        <w:rPr>
          <w:bCs/>
          <w:vertAlign w:val="superscript"/>
          <w:lang w:val="en-US"/>
        </w:rPr>
        <w:t>2</w:t>
      </w:r>
      <w:r w:rsidRPr="00257558">
        <w:rPr>
          <w:bCs/>
          <w:lang w:val="en-US"/>
        </w:rPr>
        <w:t xml:space="preserve"> First, 50</w:t>
      </w:r>
      <w:r w:rsidRPr="00EA7735">
        <w:rPr>
          <w:bCs/>
          <w:lang w:val="en-US"/>
        </w:rPr>
        <w:t xml:space="preserve"> </w:t>
      </w:r>
      <w:r w:rsidRPr="00DC6C27">
        <w:rPr>
          <w:bCs/>
          <w:i/>
          <w:lang w:val="en-US"/>
        </w:rPr>
        <w:t>µ</w:t>
      </w:r>
      <w:r w:rsidRPr="00EA7735">
        <w:rPr>
          <w:bCs/>
          <w:lang w:val="en-US"/>
        </w:rPr>
        <w:t xml:space="preserve">L of sample solution was diluted with </w:t>
      </w:r>
      <w:proofErr w:type="spellStart"/>
      <w:r w:rsidRPr="00EA7735">
        <w:rPr>
          <w:bCs/>
          <w:lang w:val="en-US"/>
        </w:rPr>
        <w:t>deionised</w:t>
      </w:r>
      <w:proofErr w:type="spellEnd"/>
      <w:r w:rsidRPr="00EA7735">
        <w:rPr>
          <w:bCs/>
          <w:lang w:val="en-US"/>
        </w:rPr>
        <w:t xml:space="preserve"> water (1:100). Borate buffer 0,25 M pH 9.0 (3 mL) was added into 500 </w:t>
      </w:r>
      <w:r w:rsidRPr="00DC6C27">
        <w:rPr>
          <w:bCs/>
          <w:i/>
          <w:lang w:val="en-US"/>
        </w:rPr>
        <w:t>µ</w:t>
      </w:r>
      <w:r w:rsidRPr="00EA7735">
        <w:rPr>
          <w:bCs/>
          <w:lang w:val="en-US"/>
        </w:rPr>
        <w:t xml:space="preserve">L of the diluted solution and the internal standard diphenhydramine (100 </w:t>
      </w:r>
      <w:proofErr w:type="spellStart"/>
      <w:r w:rsidRPr="00DC6C27">
        <w:rPr>
          <w:bCs/>
          <w:i/>
          <w:lang w:val="en-US"/>
        </w:rPr>
        <w:t>μ</w:t>
      </w:r>
      <w:r w:rsidRPr="00EA7735">
        <w:rPr>
          <w:bCs/>
          <w:lang w:val="en-US"/>
        </w:rPr>
        <w:t>L</w:t>
      </w:r>
      <w:proofErr w:type="spellEnd"/>
      <w:r w:rsidRPr="00EA7735">
        <w:rPr>
          <w:bCs/>
          <w:lang w:val="en-US"/>
        </w:rPr>
        <w:t xml:space="preserve"> of a solution of 10 </w:t>
      </w:r>
      <w:r w:rsidRPr="00DC6C27">
        <w:rPr>
          <w:bCs/>
          <w:i/>
          <w:lang w:val="en-US"/>
        </w:rPr>
        <w:t>µ</w:t>
      </w:r>
      <w:r w:rsidRPr="00EA7735">
        <w:rPr>
          <w:bCs/>
          <w:lang w:val="en-US"/>
        </w:rPr>
        <w:t xml:space="preserve">g/mL) was loaded onto a C18 cartridge previously conditioned (methanol 2.0 mL, </w:t>
      </w:r>
      <w:proofErr w:type="spellStart"/>
      <w:r w:rsidRPr="00EA7735">
        <w:rPr>
          <w:bCs/>
          <w:lang w:val="en-US"/>
        </w:rPr>
        <w:t>deionised</w:t>
      </w:r>
      <w:proofErr w:type="spellEnd"/>
      <w:r w:rsidRPr="00EA7735">
        <w:rPr>
          <w:bCs/>
          <w:lang w:val="en-US"/>
        </w:rPr>
        <w:t xml:space="preserve"> water 1.0 mL and borate buffer 2.0 mL). The loaded cartridge was further washed with </w:t>
      </w:r>
      <w:proofErr w:type="spellStart"/>
      <w:r w:rsidRPr="00EA7735">
        <w:rPr>
          <w:bCs/>
          <w:lang w:val="en-US"/>
        </w:rPr>
        <w:t>deionised</w:t>
      </w:r>
      <w:proofErr w:type="spellEnd"/>
      <w:r w:rsidRPr="00EA7735">
        <w:rPr>
          <w:bCs/>
          <w:lang w:val="en-US"/>
        </w:rPr>
        <w:t xml:space="preserve"> water (1.0 mL) and acetonitrile 10% (1.0 mL). After drying the cartridges for 7 min, the analytes were eluted with methanol (2.0 mL). Of this solution, 2 </w:t>
      </w:r>
      <w:proofErr w:type="spellStart"/>
      <w:r w:rsidRPr="00C3566D">
        <w:rPr>
          <w:bCs/>
          <w:i/>
          <w:lang w:val="en-US"/>
        </w:rPr>
        <w:t>μ</w:t>
      </w:r>
      <w:r w:rsidRPr="00EA7735">
        <w:rPr>
          <w:bCs/>
          <w:lang w:val="en-US"/>
        </w:rPr>
        <w:t>L</w:t>
      </w:r>
      <w:proofErr w:type="spellEnd"/>
      <w:r w:rsidRPr="00EA7735">
        <w:rPr>
          <w:bCs/>
          <w:lang w:val="en-US"/>
        </w:rPr>
        <w:t xml:space="preserve"> was injected in the GC-NPD system. </w:t>
      </w:r>
    </w:p>
    <w:p w:rsidR="00EA7735" w:rsidRPr="00C3566D" w:rsidRDefault="00EA7735" w:rsidP="00EA7735">
      <w:pPr>
        <w:spacing w:line="480" w:lineRule="auto"/>
        <w:rPr>
          <w:bCs/>
          <w:i/>
          <w:lang w:val="en-US"/>
        </w:rPr>
      </w:pPr>
      <w:r w:rsidRPr="00C3566D">
        <w:rPr>
          <w:bCs/>
          <w:i/>
          <w:lang w:val="en-US"/>
        </w:rPr>
        <w:t>Reagents and chemicals</w:t>
      </w:r>
    </w:p>
    <w:p w:rsidR="00EA7735" w:rsidRPr="00EA7735" w:rsidRDefault="00EA7735" w:rsidP="00EA7735">
      <w:pPr>
        <w:spacing w:line="480" w:lineRule="auto"/>
        <w:rPr>
          <w:bCs/>
          <w:lang w:val="en-US"/>
        </w:rPr>
      </w:pPr>
      <w:r w:rsidRPr="00EA7735">
        <w:rPr>
          <w:bCs/>
          <w:lang w:val="en-US"/>
        </w:rPr>
        <w:t xml:space="preserve">Hydrogen borate, methanol and acetonitrile were purchased from Merck (Darmstadt, Germany). Classic Sep-Pack® C18 cartridges (360 mg) were purchased from Waters Co. (Bellefonte, PA, USA). </w:t>
      </w:r>
      <w:r w:rsidRPr="0042057E">
        <w:rPr>
          <w:bCs/>
          <w:lang w:val="en-US"/>
        </w:rPr>
        <w:t>Di</w:t>
      </w:r>
      <w:r w:rsidR="00C3566D" w:rsidRPr="0042057E">
        <w:rPr>
          <w:bCs/>
          <w:lang w:val="en-US"/>
        </w:rPr>
        <w:t>methyltryptamine</w:t>
      </w:r>
      <w:r w:rsidRPr="00EA7735">
        <w:rPr>
          <w:bCs/>
          <w:lang w:val="en-US"/>
        </w:rPr>
        <w:t xml:space="preserve">, harmine and harmaline were purchased from Sigma Co. (St Louis, MO, USA). THH was </w:t>
      </w:r>
      <w:proofErr w:type="spellStart"/>
      <w:r w:rsidRPr="00EA7735">
        <w:rPr>
          <w:bCs/>
          <w:lang w:val="en-US"/>
        </w:rPr>
        <w:t>syntheti</w:t>
      </w:r>
      <w:r w:rsidR="000D4719">
        <w:rPr>
          <w:bCs/>
          <w:lang w:val="en-US"/>
        </w:rPr>
        <w:t>s</w:t>
      </w:r>
      <w:r w:rsidRPr="00EA7735">
        <w:rPr>
          <w:bCs/>
          <w:lang w:val="en-US"/>
        </w:rPr>
        <w:t>ed</w:t>
      </w:r>
      <w:proofErr w:type="spellEnd"/>
      <w:r w:rsidRPr="00EA7735">
        <w:rPr>
          <w:bCs/>
          <w:lang w:val="en-US"/>
        </w:rPr>
        <w:t xml:space="preserve"> according to the procedure described by Callaway </w:t>
      </w:r>
      <w:r w:rsidRPr="00257558">
        <w:rPr>
          <w:bCs/>
          <w:lang w:val="en-US"/>
        </w:rPr>
        <w:t>et al.</w:t>
      </w:r>
      <w:r w:rsidR="008341DC">
        <w:rPr>
          <w:bCs/>
          <w:vertAlign w:val="superscript"/>
          <w:lang w:val="en-US"/>
        </w:rPr>
        <w:t>3</w:t>
      </w:r>
    </w:p>
    <w:p w:rsidR="00EA7735" w:rsidRPr="00344BFA" w:rsidRDefault="00EA7735" w:rsidP="00EA7735">
      <w:pPr>
        <w:spacing w:line="480" w:lineRule="auto"/>
        <w:rPr>
          <w:bCs/>
          <w:i/>
          <w:lang w:val="en-US"/>
        </w:rPr>
      </w:pPr>
      <w:r w:rsidRPr="00344BFA">
        <w:rPr>
          <w:bCs/>
          <w:i/>
          <w:lang w:val="en-US"/>
        </w:rPr>
        <w:t>GC-NPD analyses</w:t>
      </w:r>
    </w:p>
    <w:p w:rsidR="00EA7735" w:rsidRDefault="00EA7735" w:rsidP="00EA7735">
      <w:pPr>
        <w:spacing w:line="480" w:lineRule="auto"/>
        <w:rPr>
          <w:bCs/>
          <w:lang w:val="en-US"/>
        </w:rPr>
      </w:pPr>
      <w:r w:rsidRPr="00EA7735">
        <w:rPr>
          <w:bCs/>
          <w:lang w:val="en-US"/>
        </w:rPr>
        <w:t xml:space="preserve">Analyses for dimethyltryptamine, harmine, harmaline and tetrahydroharmine were performed using an Agilent gas chromatograph model 6890 equipped with a nitrogen–phosphorous detector and 7683 series automatic injector (Little Falls, DE, USA). Chromatographic separation was achieved on an HP Ultra-2 fused-silica capillary column (25 m × 0.2mm× 0.33 </w:t>
      </w:r>
      <w:proofErr w:type="spellStart"/>
      <w:r w:rsidRPr="00EA7735">
        <w:rPr>
          <w:bCs/>
          <w:lang w:val="en-US"/>
        </w:rPr>
        <w:t>μm</w:t>
      </w:r>
      <w:proofErr w:type="spellEnd"/>
      <w:r w:rsidRPr="00EA7735">
        <w:rPr>
          <w:bCs/>
          <w:lang w:val="en-US"/>
        </w:rPr>
        <w:t xml:space="preserve"> film thickness) using ultra-pure-grade nitrogen as carrier gas at 1.0 mL/min in a constant flow rate mode. Injections (2 </w:t>
      </w:r>
      <w:proofErr w:type="spellStart"/>
      <w:r w:rsidRPr="00344BFA">
        <w:rPr>
          <w:bCs/>
          <w:i/>
          <w:lang w:val="en-US"/>
        </w:rPr>
        <w:t>μ</w:t>
      </w:r>
      <w:r w:rsidRPr="00EA7735">
        <w:rPr>
          <w:bCs/>
          <w:lang w:val="en-US"/>
        </w:rPr>
        <w:t>L</w:t>
      </w:r>
      <w:proofErr w:type="spellEnd"/>
      <w:r w:rsidRPr="00EA7735">
        <w:rPr>
          <w:bCs/>
          <w:lang w:val="en-US"/>
        </w:rPr>
        <w:t xml:space="preserve">) were made in </w:t>
      </w:r>
      <w:proofErr w:type="spellStart"/>
      <w:r w:rsidRPr="00EA7735">
        <w:rPr>
          <w:bCs/>
          <w:lang w:val="en-US"/>
        </w:rPr>
        <w:t>splitless</w:t>
      </w:r>
      <w:proofErr w:type="spellEnd"/>
      <w:r w:rsidRPr="00EA7735">
        <w:rPr>
          <w:bCs/>
          <w:lang w:val="en-US"/>
        </w:rPr>
        <w:t xml:space="preserve"> mode. The injector port and detector </w:t>
      </w:r>
      <w:r w:rsidRPr="00EA7735">
        <w:rPr>
          <w:bCs/>
          <w:lang w:val="en-US"/>
        </w:rPr>
        <w:lastRenderedPageBreak/>
        <w:t xml:space="preserve">temperature </w:t>
      </w:r>
      <w:proofErr w:type="gramStart"/>
      <w:r w:rsidRPr="00EA7735">
        <w:rPr>
          <w:bCs/>
          <w:lang w:val="en-US"/>
        </w:rPr>
        <w:t>was</w:t>
      </w:r>
      <w:proofErr w:type="gramEnd"/>
      <w:r w:rsidRPr="00EA7735">
        <w:rPr>
          <w:bCs/>
          <w:lang w:val="en-US"/>
        </w:rPr>
        <w:t xml:space="preserve"> 280°C. The oven temperature was maintained at 70°C for 1 min; programmed at 30°C/min to 120°C, and 20°C/min to 300°C with a hold at 300°C for 4 min.</w:t>
      </w:r>
      <w:r w:rsidR="00CB2A8D">
        <w:rPr>
          <w:bCs/>
          <w:lang w:val="en-US"/>
        </w:rPr>
        <w:t xml:space="preserve"> T</w:t>
      </w:r>
      <w:r w:rsidR="00CB2A8D" w:rsidRPr="00CB2A8D">
        <w:rPr>
          <w:bCs/>
          <w:lang w:val="en-US"/>
        </w:rPr>
        <w:t>he analytes were identified by comparing their retention times to those of authentic standards</w:t>
      </w:r>
      <w:r w:rsidRPr="00EA7735">
        <w:rPr>
          <w:bCs/>
          <w:lang w:val="en-US"/>
        </w:rPr>
        <w:t xml:space="preserve">. Quantification was based upon the ratio of the integrated peak area to the internal standard. </w:t>
      </w:r>
      <w:proofErr w:type="gramStart"/>
      <w:r w:rsidRPr="00EA7735">
        <w:rPr>
          <w:bCs/>
          <w:lang w:val="en-US"/>
        </w:rPr>
        <w:t>The final result</w:t>
      </w:r>
      <w:proofErr w:type="gramEnd"/>
      <w:r w:rsidRPr="00EA7735">
        <w:rPr>
          <w:bCs/>
          <w:lang w:val="en-US"/>
        </w:rPr>
        <w:t xml:space="preserve"> was multiplied by 100 in order to compensate dilution.</w:t>
      </w:r>
    </w:p>
    <w:p w:rsidR="00B97A99" w:rsidRDefault="00B97A99" w:rsidP="00EA7735">
      <w:pPr>
        <w:spacing w:line="480" w:lineRule="auto"/>
        <w:rPr>
          <w:bCs/>
          <w:lang w:val="en-US"/>
        </w:rPr>
      </w:pPr>
    </w:p>
    <w:p w:rsidR="00B97A99" w:rsidRPr="00B97A99" w:rsidRDefault="00B97A99" w:rsidP="00B97A99">
      <w:pPr>
        <w:pStyle w:val="PargrafodaLista"/>
        <w:spacing w:line="480" w:lineRule="auto"/>
        <w:ind w:left="0"/>
        <w:rPr>
          <w:b/>
          <w:lang w:val="pt-BR"/>
        </w:rPr>
      </w:pPr>
      <w:proofErr w:type="spellStart"/>
      <w:r w:rsidRPr="00B97A99">
        <w:rPr>
          <w:b/>
          <w:lang w:val="pt-BR"/>
        </w:rPr>
        <w:t>References</w:t>
      </w:r>
      <w:proofErr w:type="spellEnd"/>
    </w:p>
    <w:p w:rsidR="008341DC" w:rsidRPr="008341DC" w:rsidRDefault="008341DC" w:rsidP="008341DC">
      <w:pPr>
        <w:spacing w:line="480" w:lineRule="auto"/>
        <w:rPr>
          <w:bCs/>
          <w:lang w:val="pt-BR"/>
        </w:rPr>
      </w:pPr>
      <w:r>
        <w:rPr>
          <w:lang w:val="es-ES"/>
        </w:rPr>
        <w:t>1</w:t>
      </w:r>
      <w:bookmarkStart w:id="0" w:name="_GoBack"/>
      <w:bookmarkEnd w:id="0"/>
      <w:r w:rsidRPr="00C846D4">
        <w:rPr>
          <w:lang w:val="es-ES"/>
        </w:rPr>
        <w:t xml:space="preserve"> - </w:t>
      </w:r>
      <w:proofErr w:type="spellStart"/>
      <w:r w:rsidRPr="00C846D4">
        <w:rPr>
          <w:lang w:val="es-ES"/>
        </w:rPr>
        <w:t>Marchioni</w:t>
      </w:r>
      <w:proofErr w:type="spellEnd"/>
      <w:r w:rsidRPr="00C846D4">
        <w:rPr>
          <w:lang w:val="es-ES"/>
        </w:rPr>
        <w:t xml:space="preserve"> C, de Souza ID, </w:t>
      </w:r>
      <w:proofErr w:type="spellStart"/>
      <w:r w:rsidRPr="00C846D4">
        <w:rPr>
          <w:lang w:val="es-ES"/>
        </w:rPr>
        <w:t>Grecco</w:t>
      </w:r>
      <w:proofErr w:type="spellEnd"/>
      <w:r w:rsidRPr="00C846D4">
        <w:rPr>
          <w:lang w:val="es-ES"/>
        </w:rPr>
        <w:t xml:space="preserve"> CF, et al. </w:t>
      </w:r>
      <w:r w:rsidRPr="00C846D4">
        <w:rPr>
          <w:lang w:val="en-US"/>
        </w:rPr>
        <w:t>A column switching ultrahigh-performance liquid chromatography-tandem mass spectrometry method to determine anandamide and 2-arachidonoylglycerol in plasma samples.</w:t>
      </w:r>
      <w:r>
        <w:rPr>
          <w:lang w:val="en-US"/>
        </w:rPr>
        <w:t xml:space="preserve"> </w:t>
      </w:r>
      <w:r w:rsidRPr="008341DC">
        <w:rPr>
          <w:bCs/>
          <w:lang w:val="pt-BR"/>
        </w:rPr>
        <w:t xml:space="preserve">Anal </w:t>
      </w:r>
      <w:proofErr w:type="spellStart"/>
      <w:r w:rsidRPr="008341DC">
        <w:rPr>
          <w:bCs/>
          <w:lang w:val="pt-BR"/>
        </w:rPr>
        <w:t>Bioanal</w:t>
      </w:r>
      <w:proofErr w:type="spellEnd"/>
      <w:r w:rsidRPr="008341DC">
        <w:rPr>
          <w:bCs/>
          <w:lang w:val="pt-BR"/>
        </w:rPr>
        <w:t xml:space="preserve"> </w:t>
      </w:r>
      <w:proofErr w:type="spellStart"/>
      <w:r w:rsidRPr="008341DC">
        <w:rPr>
          <w:bCs/>
          <w:lang w:val="pt-BR"/>
        </w:rPr>
        <w:t>Chem</w:t>
      </w:r>
      <w:proofErr w:type="spellEnd"/>
      <w:r w:rsidRPr="008341DC">
        <w:rPr>
          <w:bCs/>
          <w:lang w:val="pt-BR"/>
        </w:rPr>
        <w:t xml:space="preserve"> </w:t>
      </w:r>
      <w:proofErr w:type="gramStart"/>
      <w:r w:rsidRPr="008341DC">
        <w:rPr>
          <w:bCs/>
          <w:lang w:val="pt-BR"/>
        </w:rPr>
        <w:t>2017;409:3587</w:t>
      </w:r>
      <w:proofErr w:type="gramEnd"/>
      <w:r w:rsidRPr="008341DC">
        <w:rPr>
          <w:bCs/>
          <w:lang w:val="pt-BR"/>
        </w:rPr>
        <w:t>–3596.</w:t>
      </w:r>
    </w:p>
    <w:p w:rsidR="00B97A99" w:rsidRPr="002F3E10" w:rsidRDefault="008341DC" w:rsidP="00B97A99">
      <w:pPr>
        <w:spacing w:line="480" w:lineRule="auto"/>
        <w:rPr>
          <w:lang w:val="en-US"/>
        </w:rPr>
      </w:pPr>
      <w:r>
        <w:rPr>
          <w:lang w:val="pt-BR"/>
        </w:rPr>
        <w:t>2</w:t>
      </w:r>
      <w:r w:rsidR="00B97A99" w:rsidRPr="00F22220">
        <w:rPr>
          <w:lang w:val="pt-BR"/>
        </w:rPr>
        <w:t xml:space="preserve"> - Pires AP, de Oliveira CD, Moura S, et al. </w:t>
      </w:r>
      <w:r w:rsidR="00B97A99" w:rsidRPr="002F3E10">
        <w:rPr>
          <w:lang w:val="en-US"/>
        </w:rPr>
        <w:t xml:space="preserve">Gas chromatographic analysis of dimethyltryptamine and </w:t>
      </w:r>
      <w:r w:rsidR="00B97A99" w:rsidRPr="002F3E10">
        <w:rPr>
          <w:i/>
          <w:lang w:val="en-US"/>
        </w:rPr>
        <w:t>β</w:t>
      </w:r>
      <w:r w:rsidR="00B97A99" w:rsidRPr="002F3E10">
        <w:rPr>
          <w:lang w:val="en-US"/>
        </w:rPr>
        <w:t xml:space="preserve">-carboline alkaloids in ayahuasca, an Amazonian psychoactive plant beverage. </w:t>
      </w:r>
      <w:proofErr w:type="spellStart"/>
      <w:r w:rsidR="00B97A99" w:rsidRPr="002F3E10">
        <w:rPr>
          <w:lang w:val="en-US"/>
        </w:rPr>
        <w:t>Phytochem</w:t>
      </w:r>
      <w:proofErr w:type="spellEnd"/>
      <w:r w:rsidR="00B97A99" w:rsidRPr="002F3E10">
        <w:rPr>
          <w:lang w:val="en-US"/>
        </w:rPr>
        <w:t xml:space="preserve"> Anal </w:t>
      </w:r>
      <w:proofErr w:type="gramStart"/>
      <w:r w:rsidR="00B97A99" w:rsidRPr="002F3E10">
        <w:rPr>
          <w:lang w:val="en-US"/>
        </w:rPr>
        <w:t>2009;20:149</w:t>
      </w:r>
      <w:proofErr w:type="gramEnd"/>
      <w:r w:rsidR="00B97A99">
        <w:rPr>
          <w:lang w:val="en-US"/>
        </w:rPr>
        <w:t>–1</w:t>
      </w:r>
      <w:r w:rsidR="00B97A99" w:rsidRPr="002F3E10">
        <w:rPr>
          <w:lang w:val="en-US"/>
        </w:rPr>
        <w:t>53.</w:t>
      </w:r>
    </w:p>
    <w:p w:rsidR="00B97A99" w:rsidRPr="002F3E10" w:rsidRDefault="008341DC" w:rsidP="00B97A99">
      <w:pPr>
        <w:spacing w:line="480" w:lineRule="auto"/>
        <w:rPr>
          <w:lang w:val="en-US"/>
        </w:rPr>
      </w:pPr>
      <w:r>
        <w:rPr>
          <w:lang w:val="en-US"/>
        </w:rPr>
        <w:t>3</w:t>
      </w:r>
      <w:r w:rsidR="00B97A99" w:rsidRPr="002F3E10">
        <w:rPr>
          <w:lang w:val="en-US"/>
        </w:rPr>
        <w:t xml:space="preserve"> - Callaway JC, </w:t>
      </w:r>
      <w:proofErr w:type="spellStart"/>
      <w:r w:rsidR="00B97A99" w:rsidRPr="002F3E10">
        <w:rPr>
          <w:lang w:val="en-US"/>
        </w:rPr>
        <w:t>Raymon</w:t>
      </w:r>
      <w:proofErr w:type="spellEnd"/>
      <w:r w:rsidR="00B97A99" w:rsidRPr="002F3E10">
        <w:rPr>
          <w:lang w:val="en-US"/>
        </w:rPr>
        <w:t xml:space="preserve"> LP, Hearn WL, et al. Quantitation of </w:t>
      </w:r>
      <w:proofErr w:type="gramStart"/>
      <w:r w:rsidR="00B97A99" w:rsidRPr="002F3E10">
        <w:rPr>
          <w:i/>
          <w:lang w:val="en-US"/>
        </w:rPr>
        <w:t>N,N</w:t>
      </w:r>
      <w:proofErr w:type="gramEnd"/>
      <w:r w:rsidR="00B97A99" w:rsidRPr="002F3E10">
        <w:rPr>
          <w:lang w:val="en-US"/>
        </w:rPr>
        <w:t xml:space="preserve">-dimethyltryptamine and harmala alkaloids in human plasma after oral dosing with ayahuasca. J Anal </w:t>
      </w:r>
      <w:proofErr w:type="spellStart"/>
      <w:r w:rsidR="00B97A99" w:rsidRPr="002F3E10">
        <w:rPr>
          <w:lang w:val="en-US"/>
        </w:rPr>
        <w:t>Toxicol</w:t>
      </w:r>
      <w:proofErr w:type="spellEnd"/>
      <w:r w:rsidR="00B97A99" w:rsidRPr="002F3E10">
        <w:rPr>
          <w:lang w:val="en-US"/>
        </w:rPr>
        <w:t xml:space="preserve"> </w:t>
      </w:r>
      <w:proofErr w:type="gramStart"/>
      <w:r w:rsidR="00B97A99" w:rsidRPr="002F3E10">
        <w:rPr>
          <w:lang w:val="en-US"/>
        </w:rPr>
        <w:t>1996;20:492</w:t>
      </w:r>
      <w:proofErr w:type="gramEnd"/>
      <w:r w:rsidR="00B97A99">
        <w:rPr>
          <w:lang w:val="en-US"/>
        </w:rPr>
        <w:t>–49</w:t>
      </w:r>
      <w:r w:rsidR="00B97A99" w:rsidRPr="002F3E10">
        <w:rPr>
          <w:lang w:val="en-US"/>
        </w:rPr>
        <w:t>7.</w:t>
      </w:r>
    </w:p>
    <w:p w:rsidR="00B97A99" w:rsidRDefault="00B97A99" w:rsidP="00EA7735">
      <w:pPr>
        <w:spacing w:line="480" w:lineRule="auto"/>
        <w:rPr>
          <w:bCs/>
          <w:lang w:val="en-US"/>
        </w:rPr>
      </w:pPr>
    </w:p>
    <w:p w:rsidR="002B2144" w:rsidRDefault="002B2144" w:rsidP="00EA7735">
      <w:pPr>
        <w:spacing w:line="480" w:lineRule="auto"/>
        <w:rPr>
          <w:bCs/>
          <w:lang w:val="en-US"/>
        </w:rPr>
      </w:pPr>
    </w:p>
    <w:p w:rsidR="002B2144" w:rsidRDefault="002B2144">
      <w:pPr>
        <w:spacing w:after="200" w:line="276" w:lineRule="auto"/>
        <w:rPr>
          <w:bCs/>
          <w:lang w:val="en-US"/>
        </w:rPr>
      </w:pPr>
      <w:r>
        <w:rPr>
          <w:bCs/>
          <w:lang w:val="en-US"/>
        </w:rPr>
        <w:br w:type="page"/>
      </w:r>
    </w:p>
    <w:p w:rsidR="002B2144" w:rsidRDefault="002B2144" w:rsidP="002B2144">
      <w:pPr>
        <w:spacing w:line="480" w:lineRule="auto"/>
        <w:rPr>
          <w:b/>
          <w:bCs/>
          <w:lang w:val="en-US"/>
        </w:rPr>
      </w:pPr>
      <w:r w:rsidRPr="000D0DB7">
        <w:rPr>
          <w:b/>
          <w:bCs/>
          <w:lang w:val="en-US"/>
        </w:rPr>
        <w:lastRenderedPageBreak/>
        <w:t xml:space="preserve">Assessment of </w:t>
      </w:r>
      <w:r>
        <w:rPr>
          <w:b/>
          <w:bCs/>
          <w:lang w:val="en-US"/>
        </w:rPr>
        <w:t>Ayahuasca Subjective and Somatic Effects</w:t>
      </w:r>
    </w:p>
    <w:p w:rsidR="002B2144" w:rsidRDefault="002B2144" w:rsidP="002B2144">
      <w:pPr>
        <w:spacing w:line="480" w:lineRule="auto"/>
        <w:rPr>
          <w:bCs/>
          <w:lang w:val="en-US"/>
        </w:rPr>
      </w:pPr>
      <w:r>
        <w:rPr>
          <w:bCs/>
          <w:lang w:val="en-US"/>
        </w:rPr>
        <w:t>S</w:t>
      </w:r>
      <w:r w:rsidRPr="002F3E10">
        <w:rPr>
          <w:bCs/>
          <w:lang w:val="en-US"/>
        </w:rPr>
        <w:t xml:space="preserve">ubjective states </w:t>
      </w:r>
      <w:r w:rsidRPr="00CB1AC5">
        <w:rPr>
          <w:bCs/>
          <w:lang w:val="en-US"/>
        </w:rPr>
        <w:t xml:space="preserve">were evaluated with the Portuguese version of the </w:t>
      </w:r>
      <w:r w:rsidRPr="00CB1AC5">
        <w:rPr>
          <w:bCs/>
          <w:i/>
          <w:lang w:val="en-US"/>
        </w:rPr>
        <w:t>Visual Analogue Mood Scale</w:t>
      </w:r>
      <w:r w:rsidRPr="00CB1AC5">
        <w:rPr>
          <w:bCs/>
          <w:lang w:val="en-US"/>
        </w:rPr>
        <w:t xml:space="preserve"> – VAMS.</w:t>
      </w:r>
      <w:r>
        <w:rPr>
          <w:bCs/>
          <w:vertAlign w:val="superscript"/>
          <w:lang w:val="en-US"/>
        </w:rPr>
        <w:t>1</w:t>
      </w:r>
      <w:r w:rsidRPr="00CB1AC5">
        <w:rPr>
          <w:bCs/>
          <w:lang w:val="en-US"/>
        </w:rPr>
        <w:t xml:space="preserve"> In this scale, the subject is told to mark a point that identifies his/her present subjective state on a 100-mm straight line placed between two words that describe opposite mood states. The Portuguese version of the VAMS contains 16 items that were grouped into four factors and then renamed.</w:t>
      </w:r>
      <w:r w:rsidRPr="00CB1AC5">
        <w:rPr>
          <w:bCs/>
          <w:vertAlign w:val="superscript"/>
          <w:lang w:val="en-US"/>
        </w:rPr>
        <w:t>2,</w:t>
      </w:r>
      <w:r>
        <w:rPr>
          <w:bCs/>
          <w:vertAlign w:val="superscript"/>
          <w:lang w:val="en-US"/>
        </w:rPr>
        <w:t>3</w:t>
      </w:r>
      <w:r w:rsidRPr="00CB1AC5">
        <w:rPr>
          <w:bCs/>
          <w:lang w:val="en-US"/>
        </w:rPr>
        <w:t xml:space="preserve"> The factors are: (1) </w:t>
      </w:r>
      <w:r w:rsidRPr="00CB1AC5">
        <w:rPr>
          <w:bCs/>
          <w:i/>
          <w:lang w:val="en-US"/>
        </w:rPr>
        <w:t>anxiety</w:t>
      </w:r>
      <w:r w:rsidRPr="00CB1AC5">
        <w:rPr>
          <w:bCs/>
          <w:lang w:val="en-US"/>
        </w:rPr>
        <w:t xml:space="preserve">, comprising the items </w:t>
      </w:r>
      <w:r w:rsidRPr="005F092B">
        <w:rPr>
          <w:bCs/>
          <w:i/>
          <w:lang w:val="en-US"/>
        </w:rPr>
        <w:t>calm–</w:t>
      </w:r>
      <w:bookmarkStart w:id="1" w:name="_Hlk507509115"/>
      <w:r w:rsidRPr="005F092B">
        <w:rPr>
          <w:bCs/>
          <w:i/>
          <w:lang w:val="en-US"/>
        </w:rPr>
        <w:t>excited</w:t>
      </w:r>
      <w:bookmarkEnd w:id="1"/>
      <w:r w:rsidRPr="005F092B">
        <w:rPr>
          <w:bCs/>
          <w:lang w:val="en-US"/>
        </w:rPr>
        <w:t xml:space="preserve">, </w:t>
      </w:r>
      <w:bookmarkStart w:id="2" w:name="_Hlk507509153"/>
      <w:r w:rsidRPr="005F092B">
        <w:rPr>
          <w:bCs/>
          <w:i/>
          <w:lang w:val="en-US"/>
        </w:rPr>
        <w:t>relaxed</w:t>
      </w:r>
      <w:bookmarkEnd w:id="2"/>
      <w:r w:rsidRPr="005F092B">
        <w:rPr>
          <w:bCs/>
          <w:i/>
          <w:lang w:val="en-US"/>
        </w:rPr>
        <w:t>–tense</w:t>
      </w:r>
      <w:r w:rsidRPr="005F092B">
        <w:rPr>
          <w:bCs/>
          <w:lang w:val="en-US"/>
        </w:rPr>
        <w:t>, and</w:t>
      </w:r>
      <w:r w:rsidRPr="00CB1AC5">
        <w:rPr>
          <w:bCs/>
          <w:lang w:val="en-US"/>
        </w:rPr>
        <w:t xml:space="preserve"> </w:t>
      </w:r>
      <w:r w:rsidRPr="00484589">
        <w:rPr>
          <w:bCs/>
          <w:i/>
          <w:lang w:val="en-US"/>
        </w:rPr>
        <w:t>tranquil–troubled</w:t>
      </w:r>
      <w:r w:rsidRPr="002F3E10">
        <w:rPr>
          <w:bCs/>
          <w:lang w:val="en-US"/>
        </w:rPr>
        <w:t xml:space="preserve">; (2) </w:t>
      </w:r>
      <w:r w:rsidRPr="009B51B9">
        <w:rPr>
          <w:bCs/>
          <w:i/>
          <w:lang w:val="en-US"/>
        </w:rPr>
        <w:t>sedation</w:t>
      </w:r>
      <w:r w:rsidRPr="002F3E10">
        <w:rPr>
          <w:bCs/>
          <w:lang w:val="en-US"/>
        </w:rPr>
        <w:t xml:space="preserve"> (former</w:t>
      </w:r>
      <w:r>
        <w:rPr>
          <w:bCs/>
          <w:lang w:val="en-US"/>
        </w:rPr>
        <w:t>ly</w:t>
      </w:r>
      <w:r w:rsidRPr="002F3E10">
        <w:rPr>
          <w:bCs/>
          <w:lang w:val="en-US"/>
        </w:rPr>
        <w:t xml:space="preserve"> </w:t>
      </w:r>
      <w:r w:rsidRPr="009B51B9">
        <w:rPr>
          <w:bCs/>
          <w:i/>
          <w:lang w:val="en-US"/>
        </w:rPr>
        <w:t>mental sedation</w:t>
      </w:r>
      <w:r w:rsidRPr="002F3E10">
        <w:rPr>
          <w:bCs/>
          <w:lang w:val="en-US"/>
        </w:rPr>
        <w:t xml:space="preserve">), </w:t>
      </w:r>
      <w:r w:rsidRPr="00484589">
        <w:rPr>
          <w:bCs/>
          <w:lang w:val="en-US"/>
        </w:rPr>
        <w:t xml:space="preserve">including the items </w:t>
      </w:r>
      <w:r w:rsidRPr="00484589">
        <w:rPr>
          <w:bCs/>
          <w:i/>
          <w:lang w:val="en-US"/>
        </w:rPr>
        <w:t>alert–drowsy</w:t>
      </w:r>
      <w:r w:rsidRPr="00484589">
        <w:rPr>
          <w:bCs/>
          <w:lang w:val="en-US"/>
        </w:rPr>
        <w:t xml:space="preserve">, and </w:t>
      </w:r>
      <w:r w:rsidRPr="00484589">
        <w:rPr>
          <w:bCs/>
          <w:i/>
          <w:lang w:val="en-US"/>
        </w:rPr>
        <w:t>attentive–dreamy</w:t>
      </w:r>
      <w:r w:rsidRPr="00484589">
        <w:rPr>
          <w:bCs/>
          <w:lang w:val="en-US"/>
        </w:rPr>
        <w:t xml:space="preserve">; (3) </w:t>
      </w:r>
      <w:r w:rsidRPr="00484589">
        <w:rPr>
          <w:bCs/>
          <w:i/>
          <w:lang w:val="en-US"/>
        </w:rPr>
        <w:t>cognitive impairment</w:t>
      </w:r>
      <w:r w:rsidRPr="00484589">
        <w:rPr>
          <w:bCs/>
          <w:lang w:val="en-US"/>
        </w:rPr>
        <w:t xml:space="preserve"> (former</w:t>
      </w:r>
      <w:r>
        <w:rPr>
          <w:bCs/>
          <w:lang w:val="en-US"/>
        </w:rPr>
        <w:t>ly</w:t>
      </w:r>
      <w:r w:rsidRPr="00484589">
        <w:rPr>
          <w:bCs/>
          <w:lang w:val="en-US"/>
        </w:rPr>
        <w:t xml:space="preserve"> </w:t>
      </w:r>
      <w:r w:rsidRPr="00484589">
        <w:rPr>
          <w:bCs/>
          <w:i/>
          <w:lang w:val="en-US"/>
        </w:rPr>
        <w:t>physical sedation</w:t>
      </w:r>
      <w:r w:rsidRPr="00484589">
        <w:rPr>
          <w:bCs/>
          <w:lang w:val="en-US"/>
        </w:rPr>
        <w:t xml:space="preserve">), including </w:t>
      </w:r>
      <w:bookmarkStart w:id="3" w:name="_Hlk507511583"/>
      <w:r w:rsidRPr="00484589">
        <w:rPr>
          <w:bCs/>
          <w:i/>
          <w:lang w:val="en-US"/>
        </w:rPr>
        <w:t>quick-witted–mentally slow</w:t>
      </w:r>
      <w:bookmarkEnd w:id="3"/>
      <w:r w:rsidRPr="00484589">
        <w:rPr>
          <w:bCs/>
          <w:lang w:val="en-US"/>
        </w:rPr>
        <w:t xml:space="preserve">, </w:t>
      </w:r>
      <w:r w:rsidRPr="00484589">
        <w:rPr>
          <w:bCs/>
          <w:i/>
          <w:lang w:val="en-US"/>
        </w:rPr>
        <w:t>proficient–incompetent</w:t>
      </w:r>
      <w:r w:rsidRPr="00484589">
        <w:rPr>
          <w:bCs/>
          <w:lang w:val="en-US"/>
        </w:rPr>
        <w:t xml:space="preserve">, </w:t>
      </w:r>
      <w:r w:rsidRPr="00484589">
        <w:rPr>
          <w:bCs/>
          <w:i/>
          <w:lang w:val="en-US"/>
        </w:rPr>
        <w:t>energetic–lethargic</w:t>
      </w:r>
      <w:r w:rsidRPr="00484589">
        <w:rPr>
          <w:bCs/>
          <w:lang w:val="en-US"/>
        </w:rPr>
        <w:t xml:space="preserve">, </w:t>
      </w:r>
      <w:r w:rsidRPr="00484589">
        <w:rPr>
          <w:bCs/>
          <w:i/>
          <w:lang w:val="en-US"/>
        </w:rPr>
        <w:t>clear-headed–muzzy</w:t>
      </w:r>
      <w:r w:rsidRPr="00484589">
        <w:rPr>
          <w:bCs/>
          <w:lang w:val="en-US"/>
        </w:rPr>
        <w:t xml:space="preserve">, </w:t>
      </w:r>
      <w:r w:rsidRPr="00484589">
        <w:rPr>
          <w:bCs/>
          <w:i/>
          <w:lang w:val="en-US"/>
        </w:rPr>
        <w:t>gregarious</w:t>
      </w:r>
      <w:r w:rsidRPr="00E94BC3">
        <w:rPr>
          <w:bCs/>
          <w:i/>
          <w:lang w:val="en-US"/>
        </w:rPr>
        <w:t>–</w:t>
      </w:r>
      <w:bookmarkStart w:id="4" w:name="_Hlk507511566"/>
      <w:r w:rsidRPr="00E94BC3">
        <w:rPr>
          <w:bCs/>
          <w:i/>
          <w:lang w:val="en-US"/>
        </w:rPr>
        <w:t>withdrawn</w:t>
      </w:r>
      <w:bookmarkEnd w:id="4"/>
      <w:r w:rsidRPr="00E94BC3">
        <w:rPr>
          <w:bCs/>
          <w:lang w:val="en-US"/>
        </w:rPr>
        <w:t xml:space="preserve">, </w:t>
      </w:r>
      <w:r w:rsidRPr="00E94BC3">
        <w:rPr>
          <w:bCs/>
          <w:i/>
          <w:lang w:val="en-US"/>
        </w:rPr>
        <w:t>well-coordinated–clumsy</w:t>
      </w:r>
      <w:r w:rsidRPr="00E94BC3">
        <w:rPr>
          <w:bCs/>
          <w:lang w:val="en-US"/>
        </w:rPr>
        <w:t>,</w:t>
      </w:r>
      <w:r w:rsidRPr="002F3E10">
        <w:rPr>
          <w:bCs/>
          <w:lang w:val="en-US"/>
        </w:rPr>
        <w:t xml:space="preserve"> and </w:t>
      </w:r>
      <w:r w:rsidRPr="005F092B">
        <w:rPr>
          <w:bCs/>
          <w:i/>
          <w:lang w:val="en-US"/>
        </w:rPr>
        <w:t>strong–feeble</w:t>
      </w:r>
      <w:r w:rsidRPr="005F092B">
        <w:rPr>
          <w:bCs/>
          <w:lang w:val="en-US"/>
        </w:rPr>
        <w:t>;</w:t>
      </w:r>
      <w:r w:rsidRPr="002F3E10">
        <w:rPr>
          <w:bCs/>
          <w:lang w:val="en-US"/>
        </w:rPr>
        <w:t xml:space="preserve"> and (4) </w:t>
      </w:r>
      <w:r w:rsidRPr="009B51B9">
        <w:rPr>
          <w:bCs/>
          <w:i/>
          <w:lang w:val="en-US"/>
        </w:rPr>
        <w:t>discomfort</w:t>
      </w:r>
      <w:r w:rsidRPr="002F3E10">
        <w:rPr>
          <w:bCs/>
          <w:lang w:val="en-US"/>
        </w:rPr>
        <w:t xml:space="preserve"> (former</w:t>
      </w:r>
      <w:r>
        <w:rPr>
          <w:bCs/>
          <w:lang w:val="en-US"/>
        </w:rPr>
        <w:t>ly</w:t>
      </w:r>
      <w:r w:rsidRPr="002F3E10">
        <w:rPr>
          <w:bCs/>
          <w:lang w:val="en-US"/>
        </w:rPr>
        <w:t xml:space="preserve"> </w:t>
      </w:r>
      <w:r w:rsidRPr="009B51B9">
        <w:rPr>
          <w:bCs/>
          <w:i/>
          <w:lang w:val="en-US"/>
        </w:rPr>
        <w:t>other feelings and attitudes</w:t>
      </w:r>
      <w:r w:rsidRPr="002F3E10">
        <w:rPr>
          <w:bCs/>
          <w:lang w:val="en-US"/>
        </w:rPr>
        <w:t xml:space="preserve">), made </w:t>
      </w:r>
      <w:r>
        <w:rPr>
          <w:bCs/>
          <w:lang w:val="en-US"/>
        </w:rPr>
        <w:t xml:space="preserve">up </w:t>
      </w:r>
      <w:r w:rsidRPr="002F3E10">
        <w:rPr>
          <w:bCs/>
          <w:lang w:val="en-US"/>
        </w:rPr>
        <w:t xml:space="preserve">of the items </w:t>
      </w:r>
      <w:r w:rsidRPr="003233ED">
        <w:rPr>
          <w:bCs/>
          <w:i/>
          <w:lang w:val="en-US"/>
        </w:rPr>
        <w:t>interested–bored</w:t>
      </w:r>
      <w:r w:rsidRPr="002F3E10">
        <w:rPr>
          <w:bCs/>
          <w:lang w:val="en-US"/>
        </w:rPr>
        <w:t xml:space="preserve">, </w:t>
      </w:r>
      <w:r w:rsidRPr="003233ED">
        <w:rPr>
          <w:bCs/>
          <w:i/>
          <w:lang w:val="en-US"/>
        </w:rPr>
        <w:t>happy–sad</w:t>
      </w:r>
      <w:r w:rsidRPr="003233ED">
        <w:rPr>
          <w:bCs/>
          <w:lang w:val="en-US"/>
        </w:rPr>
        <w:t>,</w:t>
      </w:r>
      <w:r w:rsidRPr="002F3E10">
        <w:rPr>
          <w:bCs/>
          <w:lang w:val="en-US"/>
        </w:rPr>
        <w:t xml:space="preserve"> </w:t>
      </w:r>
      <w:r w:rsidRPr="00D8347B">
        <w:rPr>
          <w:bCs/>
          <w:i/>
          <w:lang w:val="en-US"/>
        </w:rPr>
        <w:t>contented–discontented</w:t>
      </w:r>
      <w:r w:rsidRPr="002F3E10">
        <w:rPr>
          <w:bCs/>
          <w:lang w:val="en-US"/>
        </w:rPr>
        <w:t xml:space="preserve">, and </w:t>
      </w:r>
      <w:bookmarkStart w:id="5" w:name="_Hlk507510772"/>
      <w:r w:rsidRPr="00D8347B">
        <w:rPr>
          <w:bCs/>
          <w:i/>
          <w:lang w:val="en-US"/>
        </w:rPr>
        <w:t>amicable</w:t>
      </w:r>
      <w:bookmarkEnd w:id="5"/>
      <w:r w:rsidRPr="00D8347B">
        <w:rPr>
          <w:bCs/>
          <w:i/>
          <w:lang w:val="en-US"/>
        </w:rPr>
        <w:t>–antagonistic</w:t>
      </w:r>
      <w:r w:rsidRPr="002F3E10">
        <w:rPr>
          <w:bCs/>
          <w:lang w:val="en-US"/>
        </w:rPr>
        <w:t xml:space="preserve">. </w:t>
      </w:r>
    </w:p>
    <w:p w:rsidR="002B2144" w:rsidRPr="00CB1AC5" w:rsidRDefault="002B2144" w:rsidP="002B2144">
      <w:pPr>
        <w:spacing w:line="480" w:lineRule="auto"/>
        <w:rPr>
          <w:bCs/>
          <w:lang w:val="en-US"/>
        </w:rPr>
      </w:pPr>
      <w:r w:rsidRPr="002F3E10">
        <w:rPr>
          <w:bCs/>
          <w:lang w:val="en-US"/>
        </w:rPr>
        <w:t xml:space="preserve">The Portuguese version of the </w:t>
      </w:r>
      <w:r w:rsidRPr="00C80EF0">
        <w:rPr>
          <w:bCs/>
          <w:i/>
          <w:lang w:val="en-US"/>
        </w:rPr>
        <w:t>Beck Anxiety Inventory</w:t>
      </w:r>
      <w:r w:rsidRPr="002F3E10">
        <w:rPr>
          <w:bCs/>
          <w:lang w:val="en-US"/>
        </w:rPr>
        <w:t xml:space="preserve"> </w:t>
      </w:r>
      <w:r w:rsidRPr="00CB1AC5">
        <w:rPr>
          <w:bCs/>
          <w:lang w:val="en-US"/>
        </w:rPr>
        <w:t>(BAI),</w:t>
      </w:r>
      <w:r>
        <w:rPr>
          <w:bCs/>
          <w:vertAlign w:val="superscript"/>
          <w:lang w:val="en-US"/>
        </w:rPr>
        <w:t>4</w:t>
      </w:r>
      <w:r w:rsidRPr="00CB1AC5">
        <w:rPr>
          <w:bCs/>
          <w:lang w:val="en-US"/>
        </w:rPr>
        <w:t xml:space="preserve"> composed of 21 items rated on a Likert scale from 0 to 5, was used to assess general anxiety symptoms.</w:t>
      </w:r>
    </w:p>
    <w:p w:rsidR="002B2144" w:rsidRDefault="002B2144" w:rsidP="002B2144">
      <w:pPr>
        <w:spacing w:line="480" w:lineRule="auto"/>
        <w:rPr>
          <w:bCs/>
          <w:lang w:val="en-US"/>
        </w:rPr>
      </w:pPr>
      <w:r w:rsidRPr="00CB1AC5">
        <w:rPr>
          <w:bCs/>
          <w:lang w:val="en-US"/>
        </w:rPr>
        <w:t xml:space="preserve">The </w:t>
      </w:r>
      <w:r w:rsidRPr="00CB1AC5">
        <w:rPr>
          <w:bCs/>
          <w:i/>
          <w:lang w:val="en-US"/>
        </w:rPr>
        <w:t>Bodily Symptoms Scale</w:t>
      </w:r>
      <w:r w:rsidRPr="00CB1AC5">
        <w:rPr>
          <w:bCs/>
          <w:lang w:val="en-US"/>
        </w:rPr>
        <w:t xml:space="preserve"> (BSS)</w:t>
      </w:r>
      <w:r w:rsidRPr="00CB1AC5">
        <w:rPr>
          <w:bCs/>
          <w:vertAlign w:val="superscript"/>
          <w:lang w:val="en-US"/>
        </w:rPr>
        <w:t>2</w:t>
      </w:r>
      <w:r w:rsidRPr="00CB1AC5">
        <w:rPr>
          <w:bCs/>
          <w:lang w:val="en-US"/>
        </w:rPr>
        <w:t xml:space="preserve"> was used</w:t>
      </w:r>
      <w:r w:rsidRPr="002F3E10">
        <w:rPr>
          <w:bCs/>
          <w:lang w:val="en-US"/>
        </w:rPr>
        <w:t xml:space="preserve"> to detect physical symptoms such as fatigue, weakness, lethargy, headache, muscular tension, tremor, hanger, thirst, sweating, dyspnea, agitation, strong urge or difficulty to urinate/defecate, nausea, dry mouth, blurred vision, dizziness, </w:t>
      </w:r>
      <w:r w:rsidRPr="002F3E10">
        <w:rPr>
          <w:rStyle w:val="st"/>
          <w:lang w:val="en-US"/>
        </w:rPr>
        <w:t>tickling</w:t>
      </w:r>
      <w:r w:rsidRPr="002F3E10">
        <w:rPr>
          <w:bCs/>
          <w:lang w:val="en-US"/>
        </w:rPr>
        <w:t xml:space="preserve"> and chest pain. It is organized into 21 items, and the intensity of each symptom is rated on a Likert scale from 0 to 5.</w:t>
      </w:r>
    </w:p>
    <w:p w:rsidR="002B2144" w:rsidRPr="003B6397" w:rsidRDefault="002B2144" w:rsidP="002B2144">
      <w:pPr>
        <w:spacing w:after="200" w:line="276" w:lineRule="auto"/>
        <w:rPr>
          <w:b/>
          <w:lang w:val="en-US"/>
        </w:rPr>
      </w:pPr>
    </w:p>
    <w:p w:rsidR="002B2144" w:rsidRDefault="002B2144" w:rsidP="002B2144">
      <w:pPr>
        <w:pStyle w:val="PargrafodaLista"/>
        <w:spacing w:line="480" w:lineRule="auto"/>
        <w:ind w:left="0"/>
        <w:rPr>
          <w:b/>
          <w:lang w:val="en-US"/>
        </w:rPr>
      </w:pPr>
      <w:r w:rsidRPr="00613341">
        <w:rPr>
          <w:b/>
          <w:lang w:val="en-US"/>
        </w:rPr>
        <w:t>References</w:t>
      </w:r>
    </w:p>
    <w:p w:rsidR="002B2144" w:rsidRPr="00CB1AC5" w:rsidRDefault="002B2144" w:rsidP="002B2144">
      <w:pPr>
        <w:spacing w:line="480" w:lineRule="auto"/>
        <w:rPr>
          <w:lang w:val="pt-BR"/>
        </w:rPr>
      </w:pPr>
      <w:r>
        <w:rPr>
          <w:lang w:val="en-US"/>
        </w:rPr>
        <w:t>1</w:t>
      </w:r>
      <w:r w:rsidRPr="00CB1AC5">
        <w:rPr>
          <w:lang w:val="en-US"/>
        </w:rPr>
        <w:t xml:space="preserve"> - </w:t>
      </w:r>
      <w:proofErr w:type="spellStart"/>
      <w:r w:rsidRPr="00CB1AC5">
        <w:rPr>
          <w:lang w:val="en-US"/>
        </w:rPr>
        <w:t>Zuardi</w:t>
      </w:r>
      <w:proofErr w:type="spellEnd"/>
      <w:r w:rsidRPr="00CB1AC5">
        <w:rPr>
          <w:lang w:val="en-US"/>
        </w:rPr>
        <w:t xml:space="preserve"> AW, </w:t>
      </w:r>
      <w:proofErr w:type="spellStart"/>
      <w:r w:rsidRPr="00CB1AC5">
        <w:rPr>
          <w:lang w:val="en-US"/>
        </w:rPr>
        <w:t>Karniol</w:t>
      </w:r>
      <w:proofErr w:type="spellEnd"/>
      <w:r w:rsidRPr="00CB1AC5">
        <w:rPr>
          <w:lang w:val="en-US"/>
        </w:rPr>
        <w:t xml:space="preserve"> IG. Transcultural evaluation of a self-evaluation scale of subjective states. </w:t>
      </w:r>
      <w:r w:rsidRPr="00CB1AC5">
        <w:rPr>
          <w:lang w:val="pt-BR"/>
        </w:rPr>
        <w:t xml:space="preserve">J Brasileiro </w:t>
      </w:r>
      <w:proofErr w:type="spellStart"/>
      <w:r w:rsidRPr="00CB1AC5">
        <w:rPr>
          <w:lang w:val="pt-BR"/>
        </w:rPr>
        <w:t>Psiquiatr</w:t>
      </w:r>
      <w:proofErr w:type="spellEnd"/>
      <w:r w:rsidRPr="00CB1AC5">
        <w:rPr>
          <w:lang w:val="pt-BR"/>
        </w:rPr>
        <w:t xml:space="preserve"> </w:t>
      </w:r>
      <w:proofErr w:type="gramStart"/>
      <w:r w:rsidRPr="00CB1AC5">
        <w:rPr>
          <w:lang w:val="pt-BR"/>
        </w:rPr>
        <w:t>1981;131:403</w:t>
      </w:r>
      <w:proofErr w:type="gramEnd"/>
      <w:r>
        <w:rPr>
          <w:lang w:val="pt-BR"/>
        </w:rPr>
        <w:t>–40</w:t>
      </w:r>
      <w:r w:rsidRPr="00CB1AC5">
        <w:rPr>
          <w:lang w:val="pt-BR"/>
        </w:rPr>
        <w:t>6.</w:t>
      </w:r>
    </w:p>
    <w:p w:rsidR="002B2144" w:rsidRPr="00387BA4" w:rsidRDefault="002B2144" w:rsidP="002B2144">
      <w:pPr>
        <w:spacing w:line="480" w:lineRule="auto"/>
        <w:rPr>
          <w:lang w:val="es-ES"/>
        </w:rPr>
      </w:pPr>
      <w:r w:rsidRPr="00C7673A">
        <w:rPr>
          <w:lang w:val="pt-BR"/>
        </w:rPr>
        <w:t xml:space="preserve">2 - </w:t>
      </w:r>
      <w:proofErr w:type="spellStart"/>
      <w:r w:rsidRPr="00C7673A">
        <w:rPr>
          <w:lang w:val="pt-BR"/>
        </w:rPr>
        <w:t>Zuardi</w:t>
      </w:r>
      <w:proofErr w:type="spellEnd"/>
      <w:r w:rsidRPr="00C7673A">
        <w:rPr>
          <w:lang w:val="pt-BR"/>
        </w:rPr>
        <w:t xml:space="preserve"> AW, Cosme RA, </w:t>
      </w:r>
      <w:proofErr w:type="spellStart"/>
      <w:r w:rsidRPr="00C7673A">
        <w:rPr>
          <w:lang w:val="pt-BR"/>
        </w:rPr>
        <w:t>Graeff</w:t>
      </w:r>
      <w:proofErr w:type="spellEnd"/>
      <w:r w:rsidRPr="00C7673A">
        <w:rPr>
          <w:lang w:val="pt-BR"/>
        </w:rPr>
        <w:t xml:space="preserve"> FG, et al. </w:t>
      </w:r>
      <w:r w:rsidRPr="00CB1AC5">
        <w:rPr>
          <w:lang w:val="en-US"/>
        </w:rPr>
        <w:t xml:space="preserve">Effects of </w:t>
      </w:r>
      <w:proofErr w:type="spellStart"/>
      <w:r w:rsidRPr="00CB1AC5">
        <w:rPr>
          <w:lang w:val="en-US"/>
        </w:rPr>
        <w:t>ipsapirone</w:t>
      </w:r>
      <w:proofErr w:type="spellEnd"/>
      <w:r w:rsidRPr="00CB1AC5">
        <w:rPr>
          <w:lang w:val="en-US"/>
        </w:rPr>
        <w:t xml:space="preserve"> and cannabidiol on human experimental anxiety. </w:t>
      </w:r>
      <w:r w:rsidRPr="00387BA4">
        <w:rPr>
          <w:lang w:val="es-ES"/>
        </w:rPr>
        <w:t xml:space="preserve">J </w:t>
      </w:r>
      <w:proofErr w:type="spellStart"/>
      <w:r w:rsidRPr="00387BA4">
        <w:rPr>
          <w:lang w:val="es-ES"/>
        </w:rPr>
        <w:t>Psychopharmacol</w:t>
      </w:r>
      <w:proofErr w:type="spellEnd"/>
      <w:r w:rsidRPr="00387BA4">
        <w:rPr>
          <w:lang w:val="es-ES"/>
        </w:rPr>
        <w:t xml:space="preserve"> </w:t>
      </w:r>
      <w:proofErr w:type="gramStart"/>
      <w:r w:rsidRPr="00387BA4">
        <w:rPr>
          <w:lang w:val="es-ES"/>
        </w:rPr>
        <w:t>1993;7:82</w:t>
      </w:r>
      <w:proofErr w:type="gramEnd"/>
      <w:r w:rsidRPr="00387BA4">
        <w:rPr>
          <w:lang w:val="es-ES"/>
        </w:rPr>
        <w:t>–88.</w:t>
      </w:r>
    </w:p>
    <w:p w:rsidR="002B2144" w:rsidRPr="00153A4F" w:rsidRDefault="002B2144" w:rsidP="002B2144">
      <w:pPr>
        <w:spacing w:line="480" w:lineRule="auto"/>
        <w:rPr>
          <w:lang w:val="en-US"/>
        </w:rPr>
      </w:pPr>
      <w:r>
        <w:rPr>
          <w:lang w:val="es-ES"/>
        </w:rPr>
        <w:lastRenderedPageBreak/>
        <w:t>3</w:t>
      </w:r>
      <w:r w:rsidRPr="00387BA4">
        <w:rPr>
          <w:lang w:val="es-ES"/>
        </w:rPr>
        <w:t xml:space="preserve"> - Parente ACBV, </w:t>
      </w:r>
      <w:proofErr w:type="spellStart"/>
      <w:r w:rsidRPr="00387BA4">
        <w:rPr>
          <w:lang w:val="es-ES"/>
        </w:rPr>
        <w:t>Garcia</w:t>
      </w:r>
      <w:proofErr w:type="spellEnd"/>
      <w:r w:rsidRPr="00387BA4">
        <w:rPr>
          <w:lang w:val="es-ES"/>
        </w:rPr>
        <w:t xml:space="preserve">-Leal C, Del-Ben C, et al. </w:t>
      </w:r>
      <w:r w:rsidRPr="00CB1AC5">
        <w:rPr>
          <w:lang w:val="en-US"/>
        </w:rPr>
        <w:t xml:space="preserve">Subjective and neurovegetative changes in health volunteers and panic patients performing simulated public speaking. </w:t>
      </w:r>
      <w:r w:rsidRPr="00153A4F">
        <w:rPr>
          <w:lang w:val="en-US"/>
        </w:rPr>
        <w:t xml:space="preserve">Eur </w:t>
      </w:r>
      <w:proofErr w:type="spellStart"/>
      <w:r w:rsidRPr="00153A4F">
        <w:rPr>
          <w:lang w:val="en-US"/>
        </w:rPr>
        <w:t>Neuropsychopharmacol</w:t>
      </w:r>
      <w:proofErr w:type="spellEnd"/>
      <w:r w:rsidRPr="00153A4F">
        <w:rPr>
          <w:lang w:val="en-US"/>
        </w:rPr>
        <w:t xml:space="preserve"> </w:t>
      </w:r>
      <w:proofErr w:type="gramStart"/>
      <w:r w:rsidRPr="00153A4F">
        <w:rPr>
          <w:lang w:val="en-US"/>
        </w:rPr>
        <w:t>2005;15:663</w:t>
      </w:r>
      <w:proofErr w:type="gramEnd"/>
      <w:r w:rsidRPr="00153A4F">
        <w:rPr>
          <w:lang w:val="en-US"/>
        </w:rPr>
        <w:t>–671.</w:t>
      </w:r>
    </w:p>
    <w:p w:rsidR="002B2144" w:rsidRPr="00CB1AC5" w:rsidRDefault="002B2144" w:rsidP="002B2144">
      <w:pPr>
        <w:spacing w:line="480" w:lineRule="auto"/>
        <w:rPr>
          <w:lang w:val="pt-BR"/>
        </w:rPr>
      </w:pPr>
      <w:r>
        <w:rPr>
          <w:lang w:val="pt-BR"/>
        </w:rPr>
        <w:t>4</w:t>
      </w:r>
      <w:r w:rsidRPr="00CB1AC5">
        <w:rPr>
          <w:lang w:val="pt-BR"/>
        </w:rPr>
        <w:t xml:space="preserve"> - Cunha JA. Manual da versão em português das Escalas Beck. São Paulo:</w:t>
      </w:r>
    </w:p>
    <w:p w:rsidR="002B2144" w:rsidRPr="00294550" w:rsidRDefault="002B2144" w:rsidP="002B2144">
      <w:pPr>
        <w:spacing w:line="480" w:lineRule="auto"/>
        <w:rPr>
          <w:lang w:val="pt-BR"/>
        </w:rPr>
      </w:pPr>
      <w:r w:rsidRPr="00CB1AC5">
        <w:rPr>
          <w:lang w:val="pt-BR"/>
        </w:rPr>
        <w:t>Casa do Psicólogo</w:t>
      </w:r>
      <w:r>
        <w:rPr>
          <w:lang w:val="pt-BR"/>
        </w:rPr>
        <w:t>,</w:t>
      </w:r>
      <w:r w:rsidRPr="00CB1AC5">
        <w:rPr>
          <w:lang w:val="pt-BR"/>
        </w:rPr>
        <w:t xml:space="preserve"> 2001.</w:t>
      </w:r>
    </w:p>
    <w:p w:rsidR="002B2144" w:rsidRPr="00C7673A" w:rsidRDefault="002B2144" w:rsidP="002B2144">
      <w:pPr>
        <w:pStyle w:val="PargrafodaLista"/>
        <w:spacing w:line="480" w:lineRule="auto"/>
        <w:ind w:left="0"/>
        <w:rPr>
          <w:lang w:val="pt-BR"/>
        </w:rPr>
      </w:pPr>
    </w:p>
    <w:p w:rsidR="002B2144" w:rsidRDefault="002B2144">
      <w:pPr>
        <w:spacing w:after="200" w:line="276" w:lineRule="auto"/>
        <w:rPr>
          <w:bCs/>
          <w:lang w:val="pt-BR"/>
        </w:rPr>
      </w:pPr>
      <w:r>
        <w:rPr>
          <w:bCs/>
          <w:lang w:val="pt-BR"/>
        </w:rPr>
        <w:br w:type="page"/>
      </w:r>
    </w:p>
    <w:p w:rsidR="002B2144" w:rsidRDefault="002B2144" w:rsidP="002B2144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Analytical Method for Quantification of Endocannabinoids in Plasma</w:t>
      </w:r>
    </w:p>
    <w:p w:rsidR="002B2144" w:rsidRDefault="002B2144" w:rsidP="002B2144">
      <w:pPr>
        <w:spacing w:line="480" w:lineRule="auto"/>
        <w:rPr>
          <w:bCs/>
          <w:lang w:val="en-US"/>
        </w:rPr>
      </w:pPr>
      <w:r w:rsidRPr="000E7731">
        <w:rPr>
          <w:bCs/>
          <w:lang w:val="en-US"/>
        </w:rPr>
        <w:t>To quantify anandamide (AEA) and 2-arachidonoylglicerol (2-AG) in plasma sample</w:t>
      </w:r>
      <w:r>
        <w:rPr>
          <w:bCs/>
          <w:lang w:val="en-US"/>
        </w:rPr>
        <w:t>s</w:t>
      </w:r>
      <w:r w:rsidRPr="000E7731">
        <w:rPr>
          <w:bCs/>
          <w:lang w:val="en-US"/>
        </w:rPr>
        <w:t xml:space="preserve">, aliquots (250 </w:t>
      </w:r>
      <w:r w:rsidRPr="00E65913">
        <w:rPr>
          <w:bCs/>
          <w:i/>
          <w:lang w:val="en-US"/>
        </w:rPr>
        <w:t>µ</w:t>
      </w:r>
      <w:r w:rsidRPr="000E7731">
        <w:rPr>
          <w:bCs/>
          <w:lang w:val="en-US"/>
        </w:rPr>
        <w:t>L) from sample</w:t>
      </w:r>
      <w:r>
        <w:rPr>
          <w:bCs/>
          <w:lang w:val="en-US"/>
        </w:rPr>
        <w:t>s</w:t>
      </w:r>
      <w:r w:rsidRPr="000E7731">
        <w:rPr>
          <w:bCs/>
          <w:lang w:val="en-US"/>
        </w:rPr>
        <w:t xml:space="preserve"> were spiked with 40 </w:t>
      </w:r>
      <w:r w:rsidRPr="00E65913">
        <w:rPr>
          <w:bCs/>
          <w:i/>
          <w:lang w:val="en-US"/>
        </w:rPr>
        <w:t>µ</w:t>
      </w:r>
      <w:r w:rsidRPr="000E7731">
        <w:rPr>
          <w:bCs/>
          <w:lang w:val="en-US"/>
        </w:rPr>
        <w:t>L of the internal standards solution (AEA-d</w:t>
      </w:r>
      <w:r w:rsidRPr="00E65913">
        <w:rPr>
          <w:bCs/>
          <w:vertAlign w:val="subscript"/>
          <w:lang w:val="en-US"/>
        </w:rPr>
        <w:t>4</w:t>
      </w:r>
      <w:r w:rsidRPr="000E7731">
        <w:rPr>
          <w:bCs/>
          <w:lang w:val="en-US"/>
        </w:rPr>
        <w:t xml:space="preserve"> and 2-AG-d</w:t>
      </w:r>
      <w:r w:rsidRPr="00E65913">
        <w:rPr>
          <w:bCs/>
          <w:vertAlign w:val="subscript"/>
          <w:lang w:val="en-US"/>
        </w:rPr>
        <w:t>5</w:t>
      </w:r>
      <w:r w:rsidRPr="000E7731">
        <w:rPr>
          <w:bCs/>
          <w:lang w:val="en-US"/>
        </w:rPr>
        <w:t>) and subjected to acetonitrile precipitation of protein. The supernatants were collected and their volumes reduced under a Concentrator plus (Eppendorf</w:t>
      </w:r>
      <w:r w:rsidRPr="00E65913">
        <w:rPr>
          <w:bCs/>
          <w:vertAlign w:val="superscript"/>
          <w:lang w:val="en-US"/>
        </w:rPr>
        <w:t>®</w:t>
      </w:r>
      <w:r w:rsidRPr="000E7731">
        <w:rPr>
          <w:bCs/>
          <w:lang w:val="en-US"/>
        </w:rPr>
        <w:t xml:space="preserve">, Hamburg, Germany) and reconstituted in 150 </w:t>
      </w:r>
      <w:r w:rsidRPr="00E65913">
        <w:rPr>
          <w:bCs/>
          <w:i/>
          <w:lang w:val="en-US"/>
        </w:rPr>
        <w:t>µ</w:t>
      </w:r>
      <w:r w:rsidRPr="000E7731">
        <w:rPr>
          <w:bCs/>
          <w:lang w:val="en-US"/>
        </w:rPr>
        <w:t xml:space="preserve">L </w:t>
      </w:r>
      <w:proofErr w:type="spellStart"/>
      <w:proofErr w:type="gramStart"/>
      <w:r w:rsidRPr="000E7731">
        <w:rPr>
          <w:bCs/>
          <w:lang w:val="en-US"/>
        </w:rPr>
        <w:t>water:acetonitrile</w:t>
      </w:r>
      <w:proofErr w:type="spellEnd"/>
      <w:proofErr w:type="gramEnd"/>
      <w:r w:rsidRPr="000E7731">
        <w:rPr>
          <w:bCs/>
          <w:lang w:val="en-US"/>
        </w:rPr>
        <w:t xml:space="preserve"> (90:10, v/v). The reconstituted solution (100 </w:t>
      </w:r>
      <w:proofErr w:type="spellStart"/>
      <w:r w:rsidRPr="00E65913">
        <w:rPr>
          <w:bCs/>
          <w:i/>
          <w:lang w:val="en-US"/>
        </w:rPr>
        <w:t>μ</w:t>
      </w:r>
      <w:r w:rsidRPr="000E7731">
        <w:rPr>
          <w:bCs/>
          <w:lang w:val="en-US"/>
        </w:rPr>
        <w:t>L</w:t>
      </w:r>
      <w:proofErr w:type="spellEnd"/>
      <w:r w:rsidRPr="000E7731">
        <w:rPr>
          <w:bCs/>
          <w:lang w:val="en-US"/>
        </w:rPr>
        <w:t xml:space="preserve">) was injected into the multidimensional system. This system uses a column containing restricted access material (RP-8 ADS, 25 mm x 4 mm x 25 </w:t>
      </w:r>
      <w:proofErr w:type="spellStart"/>
      <w:r w:rsidRPr="00E65913">
        <w:rPr>
          <w:bCs/>
          <w:i/>
          <w:lang w:val="en-US"/>
        </w:rPr>
        <w:t>μ</w:t>
      </w:r>
      <w:r w:rsidRPr="000E7731">
        <w:rPr>
          <w:bCs/>
          <w:lang w:val="en-US"/>
        </w:rPr>
        <w:t>m</w:t>
      </w:r>
      <w:proofErr w:type="spellEnd"/>
      <w:r w:rsidRPr="000E7731">
        <w:rPr>
          <w:bCs/>
          <w:lang w:val="en-US"/>
        </w:rPr>
        <w:t xml:space="preserve">) in the first dimension and a </w:t>
      </w:r>
      <w:proofErr w:type="spellStart"/>
      <w:r w:rsidRPr="000E7731">
        <w:rPr>
          <w:bCs/>
          <w:lang w:val="en-US"/>
        </w:rPr>
        <w:t>Kinetex</w:t>
      </w:r>
      <w:proofErr w:type="spellEnd"/>
      <w:r w:rsidRPr="000E7731">
        <w:rPr>
          <w:bCs/>
          <w:lang w:val="en-US"/>
        </w:rPr>
        <w:t xml:space="preserve"> C18 core-shell column (100 mm x 2.1 mm x 1.7 </w:t>
      </w:r>
      <w:proofErr w:type="spellStart"/>
      <w:r w:rsidRPr="00E65913">
        <w:rPr>
          <w:bCs/>
          <w:i/>
          <w:lang w:val="en-US"/>
        </w:rPr>
        <w:t>μ</w:t>
      </w:r>
      <w:r w:rsidRPr="000E7731">
        <w:rPr>
          <w:bCs/>
          <w:lang w:val="en-US"/>
        </w:rPr>
        <w:t>m</w:t>
      </w:r>
      <w:proofErr w:type="spellEnd"/>
      <w:r w:rsidRPr="000E7731">
        <w:rPr>
          <w:bCs/>
          <w:lang w:val="en-US"/>
        </w:rPr>
        <w:t xml:space="preserve">) in the second dimension, followed by detection in </w:t>
      </w:r>
      <w:r>
        <w:rPr>
          <w:bCs/>
          <w:lang w:val="en-US"/>
        </w:rPr>
        <w:t xml:space="preserve">a </w:t>
      </w:r>
      <w:r w:rsidRPr="000E7731">
        <w:rPr>
          <w:bCs/>
          <w:lang w:val="en-US"/>
        </w:rPr>
        <w:t>triple quadrupole mass spectrometer (multiple reaction monitoring mode), in the positive mode, as described previously</w:t>
      </w:r>
      <w:r>
        <w:rPr>
          <w:bCs/>
          <w:lang w:val="en-US"/>
        </w:rPr>
        <w:t>.</w:t>
      </w:r>
      <w:r w:rsidRPr="00E65913">
        <w:rPr>
          <w:bCs/>
          <w:vertAlign w:val="superscript"/>
          <w:lang w:val="en-US"/>
        </w:rPr>
        <w:t>1</w:t>
      </w:r>
      <w:r w:rsidRPr="000E7731">
        <w:rPr>
          <w:bCs/>
          <w:lang w:val="en-US"/>
        </w:rPr>
        <w:t xml:space="preserve"> RP-8 ADS was used for enrichment with traces of </w:t>
      </w:r>
      <w:r>
        <w:rPr>
          <w:bCs/>
          <w:lang w:val="en-US"/>
        </w:rPr>
        <w:t>endocannabinoid</w:t>
      </w:r>
      <w:r w:rsidRPr="000E7731">
        <w:rPr>
          <w:bCs/>
          <w:lang w:val="en-US"/>
        </w:rPr>
        <w:t>s and macromolecular matrix size exclusion; the core-shell column was used for the chromatographic separation.</w:t>
      </w:r>
    </w:p>
    <w:p w:rsidR="002B2144" w:rsidRDefault="002B2144" w:rsidP="002B2144">
      <w:pPr>
        <w:spacing w:line="480" w:lineRule="auto"/>
        <w:rPr>
          <w:lang w:val="en-US"/>
        </w:rPr>
      </w:pPr>
    </w:p>
    <w:p w:rsidR="002B2144" w:rsidRDefault="002B2144" w:rsidP="002B2144">
      <w:pPr>
        <w:pStyle w:val="PargrafodaLista"/>
        <w:spacing w:line="480" w:lineRule="auto"/>
        <w:ind w:left="0"/>
        <w:rPr>
          <w:b/>
          <w:lang w:val="en-US"/>
        </w:rPr>
      </w:pPr>
      <w:r w:rsidRPr="00613341">
        <w:rPr>
          <w:b/>
          <w:lang w:val="en-US"/>
        </w:rPr>
        <w:t>References</w:t>
      </w:r>
    </w:p>
    <w:p w:rsidR="00B018DD" w:rsidRPr="00DF6137" w:rsidRDefault="002B2144" w:rsidP="00DF6137">
      <w:pPr>
        <w:spacing w:line="480" w:lineRule="auto"/>
        <w:rPr>
          <w:lang w:val="en-US"/>
        </w:rPr>
      </w:pPr>
      <w:r w:rsidRPr="00153A4F">
        <w:rPr>
          <w:lang w:val="es-ES"/>
        </w:rPr>
        <w:t xml:space="preserve">1 - </w:t>
      </w:r>
      <w:proofErr w:type="spellStart"/>
      <w:r w:rsidRPr="00153A4F">
        <w:rPr>
          <w:lang w:val="es-ES"/>
        </w:rPr>
        <w:t>Marchioni</w:t>
      </w:r>
      <w:proofErr w:type="spellEnd"/>
      <w:r w:rsidRPr="00153A4F">
        <w:rPr>
          <w:lang w:val="es-ES"/>
        </w:rPr>
        <w:t xml:space="preserve"> C, de Souza ID, </w:t>
      </w:r>
      <w:proofErr w:type="spellStart"/>
      <w:r w:rsidRPr="00153A4F">
        <w:rPr>
          <w:lang w:val="es-ES"/>
        </w:rPr>
        <w:t>Grecco</w:t>
      </w:r>
      <w:proofErr w:type="spellEnd"/>
      <w:r w:rsidRPr="00153A4F">
        <w:rPr>
          <w:lang w:val="es-ES"/>
        </w:rPr>
        <w:t xml:space="preserve"> CF, et al. </w:t>
      </w:r>
      <w:r w:rsidRPr="00E65913">
        <w:rPr>
          <w:lang w:val="en-US"/>
        </w:rPr>
        <w:t>A column switching ultrahigh-performance liquid chromatography-tandem mass spectrometry method to determine anandamide and 2-arachidonoylglycerol in plasma samples</w:t>
      </w:r>
      <w:r>
        <w:rPr>
          <w:lang w:val="en-US"/>
        </w:rPr>
        <w:t xml:space="preserve">. </w:t>
      </w:r>
      <w:r w:rsidRPr="00E65913">
        <w:rPr>
          <w:lang w:val="en-US"/>
        </w:rPr>
        <w:t xml:space="preserve">Anal </w:t>
      </w:r>
      <w:proofErr w:type="spellStart"/>
      <w:r w:rsidRPr="00E65913">
        <w:rPr>
          <w:lang w:val="en-US"/>
        </w:rPr>
        <w:t>Bioanal</w:t>
      </w:r>
      <w:proofErr w:type="spellEnd"/>
      <w:r w:rsidRPr="00E65913">
        <w:rPr>
          <w:lang w:val="en-US"/>
        </w:rPr>
        <w:t xml:space="preserve"> Chem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2017;</w:t>
      </w:r>
      <w:r w:rsidRPr="00E65913">
        <w:rPr>
          <w:lang w:val="en-US"/>
        </w:rPr>
        <w:t>409</w:t>
      </w:r>
      <w:r>
        <w:rPr>
          <w:lang w:val="en-US"/>
        </w:rPr>
        <w:t>:</w:t>
      </w:r>
      <w:r w:rsidRPr="00E65913">
        <w:rPr>
          <w:lang w:val="en-US"/>
        </w:rPr>
        <w:t>3587</w:t>
      </w:r>
      <w:proofErr w:type="gramEnd"/>
      <w:r w:rsidRPr="00E65913">
        <w:rPr>
          <w:lang w:val="en-US"/>
        </w:rPr>
        <w:t>–96.</w:t>
      </w:r>
    </w:p>
    <w:sectPr w:rsidR="00B018DD" w:rsidRPr="00DF6137" w:rsidSect="004055A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6D5"/>
    <w:multiLevelType w:val="hybridMultilevel"/>
    <w:tmpl w:val="A7F632D6"/>
    <w:lvl w:ilvl="0" w:tplc="A23EA36A">
      <w:start w:val="1"/>
      <w:numFmt w:val="decimal"/>
      <w:lvlText w:val="%1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2C34"/>
    <w:multiLevelType w:val="hybridMultilevel"/>
    <w:tmpl w:val="A7F632D6"/>
    <w:lvl w:ilvl="0" w:tplc="A23EA36A">
      <w:start w:val="1"/>
      <w:numFmt w:val="decimal"/>
      <w:lvlText w:val="%1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7D25"/>
    <w:multiLevelType w:val="hybridMultilevel"/>
    <w:tmpl w:val="95E631B6"/>
    <w:lvl w:ilvl="0" w:tplc="5F48E0FE">
      <w:start w:val="1"/>
      <w:numFmt w:val="decimal"/>
      <w:lvlText w:val="%1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B58BC"/>
    <w:multiLevelType w:val="hybridMultilevel"/>
    <w:tmpl w:val="786A023E"/>
    <w:lvl w:ilvl="0" w:tplc="B33EE4C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26"/>
    <w:rsid w:val="00001B18"/>
    <w:rsid w:val="000531E0"/>
    <w:rsid w:val="00057738"/>
    <w:rsid w:val="00083B45"/>
    <w:rsid w:val="000922AC"/>
    <w:rsid w:val="0009632D"/>
    <w:rsid w:val="000B5B93"/>
    <w:rsid w:val="000D4719"/>
    <w:rsid w:val="000E3974"/>
    <w:rsid w:val="001065E5"/>
    <w:rsid w:val="00145FD5"/>
    <w:rsid w:val="00153A4F"/>
    <w:rsid w:val="00156313"/>
    <w:rsid w:val="00171B75"/>
    <w:rsid w:val="0018570A"/>
    <w:rsid w:val="0018642B"/>
    <w:rsid w:val="001C2878"/>
    <w:rsid w:val="00257558"/>
    <w:rsid w:val="00274D12"/>
    <w:rsid w:val="002B2144"/>
    <w:rsid w:val="002B3ED3"/>
    <w:rsid w:val="002B4E91"/>
    <w:rsid w:val="00344BFA"/>
    <w:rsid w:val="003B6397"/>
    <w:rsid w:val="003C79D7"/>
    <w:rsid w:val="004055A7"/>
    <w:rsid w:val="0042057E"/>
    <w:rsid w:val="004F768A"/>
    <w:rsid w:val="00531B40"/>
    <w:rsid w:val="00570141"/>
    <w:rsid w:val="005E00D7"/>
    <w:rsid w:val="00613341"/>
    <w:rsid w:val="0062464B"/>
    <w:rsid w:val="006338CA"/>
    <w:rsid w:val="00695D88"/>
    <w:rsid w:val="006E1629"/>
    <w:rsid w:val="006F1381"/>
    <w:rsid w:val="007A56B3"/>
    <w:rsid w:val="008341DC"/>
    <w:rsid w:val="00834C61"/>
    <w:rsid w:val="00834E26"/>
    <w:rsid w:val="008756B6"/>
    <w:rsid w:val="008C2215"/>
    <w:rsid w:val="008F49B1"/>
    <w:rsid w:val="00967E61"/>
    <w:rsid w:val="009E09A6"/>
    <w:rsid w:val="00A12CC3"/>
    <w:rsid w:val="00A56364"/>
    <w:rsid w:val="00A94DF9"/>
    <w:rsid w:val="00AB09AB"/>
    <w:rsid w:val="00AE13A3"/>
    <w:rsid w:val="00AF4922"/>
    <w:rsid w:val="00B018DD"/>
    <w:rsid w:val="00B06B23"/>
    <w:rsid w:val="00B97A99"/>
    <w:rsid w:val="00BE752C"/>
    <w:rsid w:val="00C167FD"/>
    <w:rsid w:val="00C3566D"/>
    <w:rsid w:val="00C90BC6"/>
    <w:rsid w:val="00CB2A8D"/>
    <w:rsid w:val="00D341C2"/>
    <w:rsid w:val="00D35A02"/>
    <w:rsid w:val="00D531A2"/>
    <w:rsid w:val="00DB11CB"/>
    <w:rsid w:val="00DC6C27"/>
    <w:rsid w:val="00DF4A0C"/>
    <w:rsid w:val="00DF6137"/>
    <w:rsid w:val="00E072F9"/>
    <w:rsid w:val="00E408CA"/>
    <w:rsid w:val="00E44F4F"/>
    <w:rsid w:val="00E4786F"/>
    <w:rsid w:val="00E70CBE"/>
    <w:rsid w:val="00EA7735"/>
    <w:rsid w:val="00F22220"/>
    <w:rsid w:val="00F33237"/>
    <w:rsid w:val="00F43691"/>
    <w:rsid w:val="00F86F7E"/>
    <w:rsid w:val="00FB0315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A4A9"/>
  <w15:docId w15:val="{8C92AA32-ED57-4478-B65C-06BE5DA7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41C2"/>
    <w:pPr>
      <w:ind w:left="720"/>
      <w:contextualSpacing/>
    </w:pPr>
  </w:style>
  <w:style w:type="character" w:customStyle="1" w:styleId="slug-doi">
    <w:name w:val="slug-doi"/>
    <w:basedOn w:val="Fontepargpadro"/>
    <w:rsid w:val="00F43691"/>
  </w:style>
  <w:style w:type="character" w:customStyle="1" w:styleId="st">
    <w:name w:val="st"/>
    <w:basedOn w:val="Fontepargpadro"/>
    <w:rsid w:val="002B2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 dos Santos</cp:lastModifiedBy>
  <cp:revision>9</cp:revision>
  <dcterms:created xsi:type="dcterms:W3CDTF">2018-08-13T17:36:00Z</dcterms:created>
  <dcterms:modified xsi:type="dcterms:W3CDTF">2018-08-14T00:10:00Z</dcterms:modified>
</cp:coreProperties>
</file>