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DC1F" w14:textId="77777777" w:rsidR="003004B3" w:rsidRDefault="003004B3" w:rsidP="009924AE">
      <w:pPr>
        <w:rPr>
          <w:b/>
          <w:lang w:val="en-US"/>
        </w:rPr>
      </w:pPr>
      <w:r>
        <w:rPr>
          <w:b/>
          <w:lang w:val="en-US"/>
        </w:rPr>
        <w:t>Supplemental Digital Content file 1</w:t>
      </w:r>
      <w:r w:rsidRPr="00D120C4">
        <w:rPr>
          <w:b/>
          <w:lang w:val="en-US"/>
        </w:rPr>
        <w:t xml:space="preserve">: </w:t>
      </w:r>
    </w:p>
    <w:p w14:paraId="229D7BE3" w14:textId="77777777" w:rsidR="003004B3" w:rsidRDefault="003004B3" w:rsidP="009924AE">
      <w:pPr>
        <w:rPr>
          <w:b/>
          <w:lang w:val="en-US"/>
        </w:rPr>
      </w:pPr>
    </w:p>
    <w:p w14:paraId="0EA6793A" w14:textId="77777777" w:rsidR="003004B3" w:rsidRDefault="003004B3" w:rsidP="009924AE">
      <w:pPr>
        <w:rPr>
          <w:bCs/>
          <w:lang w:val="en-US"/>
        </w:rPr>
      </w:pPr>
      <w:r>
        <w:rPr>
          <w:bCs/>
          <w:lang w:val="en-US"/>
        </w:rPr>
        <w:t xml:space="preserve">The publicly available handbook for the UTS </w:t>
      </w:r>
      <w:proofErr w:type="spellStart"/>
      <w:r>
        <w:rPr>
          <w:bCs/>
          <w:lang w:val="en-US"/>
        </w:rPr>
        <w:t>MPhysiotherapy</w:t>
      </w:r>
      <w:proofErr w:type="spellEnd"/>
      <w:r>
        <w:rPr>
          <w:bCs/>
          <w:lang w:val="en-US"/>
        </w:rPr>
        <w:t xml:space="preserve"> course (</w:t>
      </w:r>
      <w:hyperlink r:id="rId7" w:history="1">
        <w:r w:rsidRPr="004568DB">
          <w:rPr>
            <w:rStyle w:val="Hyperlink"/>
            <w:bCs/>
            <w:lang w:val="en-US"/>
          </w:rPr>
          <w:t>https://www.handbook.uts.edu.au/courses/c04306.html</w:t>
        </w:r>
      </w:hyperlink>
      <w:r>
        <w:rPr>
          <w:bCs/>
          <w:lang w:val="en-US"/>
        </w:rPr>
        <w:t>) contains detailed subject descriptions of all subjects in the first semester.</w:t>
      </w:r>
    </w:p>
    <w:p w14:paraId="23855DAB" w14:textId="77777777" w:rsidR="003004B3" w:rsidRDefault="003004B3" w:rsidP="009924AE">
      <w:pPr>
        <w:rPr>
          <w:bCs/>
          <w:lang w:val="en-US"/>
        </w:rPr>
      </w:pPr>
    </w:p>
    <w:p w14:paraId="4E673A6B" w14:textId="77777777" w:rsidR="003004B3" w:rsidRDefault="003004B3" w:rsidP="009924AE">
      <w:pPr>
        <w:rPr>
          <w:bCs/>
          <w:lang w:val="en-US"/>
        </w:rPr>
      </w:pPr>
      <w:r>
        <w:rPr>
          <w:bCs/>
          <w:lang w:val="en-US"/>
        </w:rPr>
        <w:t xml:space="preserve">Below is relevant information for the 14-week Pain Neuroscience and Management subject. </w:t>
      </w:r>
    </w:p>
    <w:p w14:paraId="6938F7C8" w14:textId="77777777" w:rsidR="003004B3" w:rsidRDefault="003004B3" w:rsidP="009924AE">
      <w:pPr>
        <w:rPr>
          <w:bCs/>
          <w:lang w:val="en-US"/>
        </w:rPr>
      </w:pPr>
    </w:p>
    <w:p w14:paraId="4986967D" w14:textId="77777777" w:rsidR="003004B3" w:rsidRDefault="003004B3" w:rsidP="009924AE">
      <w:pPr>
        <w:rPr>
          <w:bCs/>
          <w:lang w:val="en-US"/>
        </w:rPr>
      </w:pPr>
      <w:r w:rsidRPr="00A470E2">
        <w:rPr>
          <w:b/>
          <w:lang w:val="en-US"/>
        </w:rPr>
        <w:t xml:space="preserve">Example </w:t>
      </w:r>
      <w:r>
        <w:rPr>
          <w:b/>
          <w:lang w:val="en-US"/>
        </w:rPr>
        <w:t xml:space="preserve">case-based </w:t>
      </w:r>
      <w:r w:rsidRPr="00A470E2">
        <w:rPr>
          <w:b/>
          <w:lang w:val="en-US"/>
        </w:rPr>
        <w:t xml:space="preserve">learning activity addressing conceptual change: </w:t>
      </w:r>
      <w:r>
        <w:rPr>
          <w:bCs/>
          <w:lang w:val="en-US"/>
        </w:rPr>
        <w:t>One groupwork case study runs across several weeks of classes where a patient who initially presents with an acute ankle sprain later presents with increasingly complex chronic pain.</w:t>
      </w:r>
    </w:p>
    <w:p w14:paraId="4B48034A" w14:textId="77777777" w:rsidR="003004B3" w:rsidRPr="00694373" w:rsidRDefault="003004B3" w:rsidP="009924AE">
      <w:pPr>
        <w:spacing w:before="336" w:after="60"/>
        <w:outlineLvl w:val="2"/>
        <w:rPr>
          <w:rFonts w:ascii="Verdana" w:hAnsi="Verdana"/>
          <w:b/>
          <w:bCs/>
          <w:color w:val="000000"/>
          <w:sz w:val="31"/>
          <w:szCs w:val="31"/>
        </w:rPr>
      </w:pPr>
      <w:r w:rsidRPr="00694373">
        <w:rPr>
          <w:rFonts w:ascii="Verdana" w:hAnsi="Verdana"/>
          <w:b/>
          <w:bCs/>
          <w:color w:val="000000"/>
          <w:sz w:val="31"/>
          <w:szCs w:val="31"/>
        </w:rPr>
        <w:t>Description</w:t>
      </w:r>
    </w:p>
    <w:p w14:paraId="24B30B78" w14:textId="77777777" w:rsidR="003004B3" w:rsidRPr="00694373" w:rsidRDefault="003004B3" w:rsidP="009924AE">
      <w:pPr>
        <w:spacing w:after="288"/>
        <w:rPr>
          <w:rFonts w:ascii="Verdana" w:hAnsi="Verdana"/>
          <w:color w:val="000000"/>
          <w:sz w:val="19"/>
          <w:szCs w:val="19"/>
        </w:rPr>
      </w:pPr>
      <w:r w:rsidRPr="00694373">
        <w:rPr>
          <w:rFonts w:ascii="Verdana" w:hAnsi="Verdana"/>
          <w:color w:val="000000"/>
          <w:sz w:val="19"/>
          <w:szCs w:val="19"/>
        </w:rPr>
        <w:t xml:space="preserve">Students learn to manage people challenged by acute and chronic pain conditions using contemporary pain neuroscience. An understanding of neurobiological mechanisms, psychological factors, and social factors influencing pain informs clinical assessments and treatments. Students gain an understanding of the role of the physiotherapist in the wider interdisciplinary pain management team. Students use evidence-based practice and clinical reasoning to identify interventions that target pain neurobiology and maladaptive knowledge and beliefs including education-focused interventions. Emerging approaches to pain management are addressed and pain management is considered in special populations such as stroke, dystonia, multiple sclerosis, rheumatoid arthritis, cancer, </w:t>
      </w:r>
      <w:proofErr w:type="gramStart"/>
      <w:r w:rsidRPr="00694373">
        <w:rPr>
          <w:rFonts w:ascii="Verdana" w:hAnsi="Verdana"/>
          <w:color w:val="000000"/>
          <w:sz w:val="19"/>
          <w:szCs w:val="19"/>
        </w:rPr>
        <w:t>children</w:t>
      </w:r>
      <w:proofErr w:type="gramEnd"/>
      <w:r w:rsidRPr="00694373">
        <w:rPr>
          <w:rFonts w:ascii="Verdana" w:hAnsi="Verdana"/>
          <w:color w:val="000000"/>
          <w:sz w:val="19"/>
          <w:szCs w:val="19"/>
        </w:rPr>
        <w:t xml:space="preserve"> and the elderly.</w:t>
      </w:r>
    </w:p>
    <w:p w14:paraId="03CBCF6B" w14:textId="77777777" w:rsidR="003004B3" w:rsidRPr="00694373" w:rsidRDefault="003004B3" w:rsidP="009924AE">
      <w:pPr>
        <w:spacing w:before="336" w:after="60"/>
        <w:outlineLvl w:val="2"/>
        <w:rPr>
          <w:rFonts w:ascii="Verdana" w:hAnsi="Verdana"/>
          <w:b/>
          <w:bCs/>
          <w:color w:val="000000"/>
          <w:sz w:val="31"/>
          <w:szCs w:val="31"/>
        </w:rPr>
      </w:pPr>
      <w:r w:rsidRPr="00694373">
        <w:rPr>
          <w:rFonts w:ascii="Verdana" w:hAnsi="Verdana"/>
          <w:b/>
          <w:bCs/>
          <w:color w:val="000000"/>
          <w:sz w:val="31"/>
          <w:szCs w:val="31"/>
        </w:rPr>
        <w:t>Subject learning objectives (SLOs)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1"/>
        <w:gridCol w:w="8529"/>
      </w:tblGrid>
      <w:tr w:rsidR="003004B3" w:rsidRPr="00694373" w14:paraId="15A31C30" w14:textId="77777777" w:rsidTr="00124416">
        <w:tc>
          <w:tcPr>
            <w:tcW w:w="0" w:type="auto"/>
            <w:shd w:val="clear" w:color="auto" w:fill="FFFFFF"/>
            <w:tcMar>
              <w:top w:w="90" w:type="dxa"/>
              <w:left w:w="90" w:type="dxa"/>
              <w:bottom w:w="90" w:type="dxa"/>
              <w:right w:w="90" w:type="dxa"/>
            </w:tcMar>
            <w:vAlign w:val="bottom"/>
            <w:hideMark/>
          </w:tcPr>
          <w:p w14:paraId="3CE0E0A9"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02.</w:t>
            </w:r>
          </w:p>
        </w:tc>
        <w:tc>
          <w:tcPr>
            <w:tcW w:w="0" w:type="auto"/>
            <w:shd w:val="clear" w:color="auto" w:fill="FFFFFF"/>
            <w:tcMar>
              <w:top w:w="90" w:type="dxa"/>
              <w:left w:w="90" w:type="dxa"/>
              <w:bottom w:w="90" w:type="dxa"/>
              <w:right w:w="90" w:type="dxa"/>
            </w:tcMar>
            <w:vAlign w:val="bottom"/>
            <w:hideMark/>
          </w:tcPr>
          <w:p w14:paraId="1A17945B"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Link structural and/or functional pathophysiology to a client’s clinical presentation</w:t>
            </w:r>
          </w:p>
        </w:tc>
      </w:tr>
      <w:tr w:rsidR="003004B3" w:rsidRPr="00694373" w14:paraId="4291ACBD" w14:textId="77777777" w:rsidTr="00124416">
        <w:tc>
          <w:tcPr>
            <w:tcW w:w="0" w:type="auto"/>
            <w:shd w:val="clear" w:color="auto" w:fill="FFFFFF"/>
            <w:vAlign w:val="center"/>
            <w:hideMark/>
          </w:tcPr>
          <w:p w14:paraId="2D7D0899"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30BFA109" w14:textId="77777777" w:rsidR="003004B3" w:rsidRPr="00694373" w:rsidRDefault="003004B3" w:rsidP="009924AE">
            <w:pPr>
              <w:rPr>
                <w:sz w:val="20"/>
                <w:szCs w:val="20"/>
              </w:rPr>
            </w:pPr>
          </w:p>
        </w:tc>
      </w:tr>
      <w:tr w:rsidR="003004B3" w:rsidRPr="00694373" w14:paraId="57457305" w14:textId="77777777" w:rsidTr="00124416">
        <w:tc>
          <w:tcPr>
            <w:tcW w:w="0" w:type="auto"/>
            <w:shd w:val="clear" w:color="auto" w:fill="FFFFFF"/>
            <w:tcMar>
              <w:top w:w="90" w:type="dxa"/>
              <w:left w:w="90" w:type="dxa"/>
              <w:bottom w:w="90" w:type="dxa"/>
              <w:right w:w="90" w:type="dxa"/>
            </w:tcMar>
            <w:vAlign w:val="bottom"/>
            <w:hideMark/>
          </w:tcPr>
          <w:p w14:paraId="699C99A9"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04.</w:t>
            </w:r>
          </w:p>
        </w:tc>
        <w:tc>
          <w:tcPr>
            <w:tcW w:w="0" w:type="auto"/>
            <w:shd w:val="clear" w:color="auto" w:fill="FFFFFF"/>
            <w:tcMar>
              <w:top w:w="90" w:type="dxa"/>
              <w:left w:w="90" w:type="dxa"/>
              <w:bottom w:w="90" w:type="dxa"/>
              <w:right w:w="90" w:type="dxa"/>
            </w:tcMar>
            <w:vAlign w:val="bottom"/>
            <w:hideMark/>
          </w:tcPr>
          <w:p w14:paraId="37BFE1C7"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Assess client's problems with reference to the WHO ICF domains of impairment, activity limitation and participation restriction</w:t>
            </w:r>
          </w:p>
        </w:tc>
      </w:tr>
      <w:tr w:rsidR="003004B3" w:rsidRPr="00694373" w14:paraId="370A3408" w14:textId="77777777" w:rsidTr="00124416">
        <w:tc>
          <w:tcPr>
            <w:tcW w:w="0" w:type="auto"/>
            <w:shd w:val="clear" w:color="auto" w:fill="FFFFFF"/>
            <w:vAlign w:val="center"/>
            <w:hideMark/>
          </w:tcPr>
          <w:p w14:paraId="1E5A7DF4"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109ECC24" w14:textId="77777777" w:rsidR="003004B3" w:rsidRPr="00694373" w:rsidRDefault="003004B3" w:rsidP="009924AE">
            <w:pPr>
              <w:rPr>
                <w:sz w:val="20"/>
                <w:szCs w:val="20"/>
              </w:rPr>
            </w:pPr>
          </w:p>
        </w:tc>
      </w:tr>
      <w:tr w:rsidR="003004B3" w:rsidRPr="00694373" w14:paraId="446300F4" w14:textId="77777777" w:rsidTr="00124416">
        <w:tc>
          <w:tcPr>
            <w:tcW w:w="0" w:type="auto"/>
            <w:shd w:val="clear" w:color="auto" w:fill="FFFFFF"/>
            <w:tcMar>
              <w:top w:w="90" w:type="dxa"/>
              <w:left w:w="90" w:type="dxa"/>
              <w:bottom w:w="90" w:type="dxa"/>
              <w:right w:w="90" w:type="dxa"/>
            </w:tcMar>
            <w:vAlign w:val="bottom"/>
            <w:hideMark/>
          </w:tcPr>
          <w:p w14:paraId="1D7ADE2A"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06.</w:t>
            </w:r>
          </w:p>
        </w:tc>
        <w:tc>
          <w:tcPr>
            <w:tcW w:w="0" w:type="auto"/>
            <w:shd w:val="clear" w:color="auto" w:fill="FFFFFF"/>
            <w:tcMar>
              <w:top w:w="90" w:type="dxa"/>
              <w:left w:w="90" w:type="dxa"/>
              <w:bottom w:w="90" w:type="dxa"/>
              <w:right w:w="90" w:type="dxa"/>
            </w:tcMar>
            <w:vAlign w:val="bottom"/>
            <w:hideMark/>
          </w:tcPr>
          <w:p w14:paraId="0DA9C123"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Apply clinical reasoning to determine best physiotherapy care</w:t>
            </w:r>
          </w:p>
        </w:tc>
      </w:tr>
      <w:tr w:rsidR="003004B3" w:rsidRPr="00694373" w14:paraId="6EBA4907" w14:textId="77777777" w:rsidTr="00124416">
        <w:tc>
          <w:tcPr>
            <w:tcW w:w="0" w:type="auto"/>
            <w:shd w:val="clear" w:color="auto" w:fill="FFFFFF"/>
            <w:vAlign w:val="center"/>
            <w:hideMark/>
          </w:tcPr>
          <w:p w14:paraId="2528750C"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1C1F101F" w14:textId="77777777" w:rsidR="003004B3" w:rsidRPr="00694373" w:rsidRDefault="003004B3" w:rsidP="009924AE">
            <w:pPr>
              <w:rPr>
                <w:sz w:val="20"/>
                <w:szCs w:val="20"/>
              </w:rPr>
            </w:pPr>
          </w:p>
        </w:tc>
      </w:tr>
      <w:tr w:rsidR="003004B3" w:rsidRPr="00694373" w14:paraId="6CE896A1" w14:textId="77777777" w:rsidTr="00124416">
        <w:tc>
          <w:tcPr>
            <w:tcW w:w="0" w:type="auto"/>
            <w:shd w:val="clear" w:color="auto" w:fill="FFFFFF"/>
            <w:tcMar>
              <w:top w:w="90" w:type="dxa"/>
              <w:left w:w="90" w:type="dxa"/>
              <w:bottom w:w="90" w:type="dxa"/>
              <w:right w:w="90" w:type="dxa"/>
            </w:tcMar>
            <w:vAlign w:val="bottom"/>
            <w:hideMark/>
          </w:tcPr>
          <w:p w14:paraId="7B909497"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08.</w:t>
            </w:r>
          </w:p>
        </w:tc>
        <w:tc>
          <w:tcPr>
            <w:tcW w:w="0" w:type="auto"/>
            <w:shd w:val="clear" w:color="auto" w:fill="FFFFFF"/>
            <w:tcMar>
              <w:top w:w="90" w:type="dxa"/>
              <w:left w:w="90" w:type="dxa"/>
              <w:bottom w:w="90" w:type="dxa"/>
              <w:right w:w="90" w:type="dxa"/>
            </w:tcMar>
            <w:vAlign w:val="bottom"/>
            <w:hideMark/>
          </w:tcPr>
          <w:p w14:paraId="74A15937"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 xml:space="preserve">Justify assessment selection with reference to the evidence for its </w:t>
            </w:r>
            <w:proofErr w:type="spellStart"/>
            <w:r w:rsidRPr="00694373">
              <w:rPr>
                <w:rFonts w:ascii="Verdana" w:hAnsi="Verdana"/>
                <w:color w:val="000000"/>
                <w:sz w:val="19"/>
                <w:szCs w:val="19"/>
              </w:rPr>
              <w:t>clinimetric</w:t>
            </w:r>
            <w:proofErr w:type="spellEnd"/>
            <w:r w:rsidRPr="00694373">
              <w:rPr>
                <w:rFonts w:ascii="Verdana" w:hAnsi="Verdana"/>
                <w:color w:val="000000"/>
                <w:sz w:val="19"/>
                <w:szCs w:val="19"/>
              </w:rPr>
              <w:t xml:space="preserve"> properties</w:t>
            </w:r>
          </w:p>
        </w:tc>
      </w:tr>
      <w:tr w:rsidR="003004B3" w:rsidRPr="00694373" w14:paraId="3371869C" w14:textId="77777777" w:rsidTr="00124416">
        <w:tc>
          <w:tcPr>
            <w:tcW w:w="0" w:type="auto"/>
            <w:shd w:val="clear" w:color="auto" w:fill="FFFFFF"/>
            <w:vAlign w:val="center"/>
            <w:hideMark/>
          </w:tcPr>
          <w:p w14:paraId="31E77DE0"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18D4B6B2" w14:textId="77777777" w:rsidR="003004B3" w:rsidRPr="00694373" w:rsidRDefault="003004B3" w:rsidP="009924AE">
            <w:pPr>
              <w:rPr>
                <w:sz w:val="20"/>
                <w:szCs w:val="20"/>
              </w:rPr>
            </w:pPr>
          </w:p>
        </w:tc>
      </w:tr>
      <w:tr w:rsidR="003004B3" w:rsidRPr="00694373" w14:paraId="1E4C3938" w14:textId="77777777" w:rsidTr="00124416">
        <w:tc>
          <w:tcPr>
            <w:tcW w:w="0" w:type="auto"/>
            <w:shd w:val="clear" w:color="auto" w:fill="FFFFFF"/>
            <w:tcMar>
              <w:top w:w="90" w:type="dxa"/>
              <w:left w:w="90" w:type="dxa"/>
              <w:bottom w:w="90" w:type="dxa"/>
              <w:right w:w="90" w:type="dxa"/>
            </w:tcMar>
            <w:vAlign w:val="bottom"/>
            <w:hideMark/>
          </w:tcPr>
          <w:p w14:paraId="2545CE23"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15.</w:t>
            </w:r>
          </w:p>
        </w:tc>
        <w:tc>
          <w:tcPr>
            <w:tcW w:w="0" w:type="auto"/>
            <w:shd w:val="clear" w:color="auto" w:fill="FFFFFF"/>
            <w:tcMar>
              <w:top w:w="90" w:type="dxa"/>
              <w:left w:w="90" w:type="dxa"/>
              <w:bottom w:w="90" w:type="dxa"/>
              <w:right w:w="90" w:type="dxa"/>
            </w:tcMar>
            <w:vAlign w:val="bottom"/>
            <w:hideMark/>
          </w:tcPr>
          <w:p w14:paraId="0201E8CA"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Establish goals with client and families/caregivers</w:t>
            </w:r>
          </w:p>
        </w:tc>
      </w:tr>
      <w:tr w:rsidR="003004B3" w:rsidRPr="00694373" w14:paraId="78B4E3A9" w14:textId="77777777" w:rsidTr="00124416">
        <w:tc>
          <w:tcPr>
            <w:tcW w:w="0" w:type="auto"/>
            <w:shd w:val="clear" w:color="auto" w:fill="FFFFFF"/>
            <w:vAlign w:val="center"/>
            <w:hideMark/>
          </w:tcPr>
          <w:p w14:paraId="6D3BD6C9"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2BABCBC4" w14:textId="77777777" w:rsidR="003004B3" w:rsidRPr="00694373" w:rsidRDefault="003004B3" w:rsidP="009924AE">
            <w:pPr>
              <w:rPr>
                <w:sz w:val="20"/>
                <w:szCs w:val="20"/>
              </w:rPr>
            </w:pPr>
          </w:p>
        </w:tc>
      </w:tr>
      <w:tr w:rsidR="003004B3" w:rsidRPr="00694373" w14:paraId="07803468" w14:textId="77777777" w:rsidTr="00124416">
        <w:tc>
          <w:tcPr>
            <w:tcW w:w="0" w:type="auto"/>
            <w:shd w:val="clear" w:color="auto" w:fill="FFFFFF"/>
            <w:tcMar>
              <w:top w:w="90" w:type="dxa"/>
              <w:left w:w="90" w:type="dxa"/>
              <w:bottom w:w="90" w:type="dxa"/>
              <w:right w:w="90" w:type="dxa"/>
            </w:tcMar>
            <w:vAlign w:val="bottom"/>
            <w:hideMark/>
          </w:tcPr>
          <w:p w14:paraId="4E8EB2D8"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17.</w:t>
            </w:r>
          </w:p>
        </w:tc>
        <w:tc>
          <w:tcPr>
            <w:tcW w:w="0" w:type="auto"/>
            <w:shd w:val="clear" w:color="auto" w:fill="FFFFFF"/>
            <w:tcMar>
              <w:top w:w="90" w:type="dxa"/>
              <w:left w:w="90" w:type="dxa"/>
              <w:bottom w:w="90" w:type="dxa"/>
              <w:right w:w="90" w:type="dxa"/>
            </w:tcMar>
            <w:vAlign w:val="bottom"/>
            <w:hideMark/>
          </w:tcPr>
          <w:p w14:paraId="536FEA66"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Collaborate and participate in shared decision-making with the client and relevant others</w:t>
            </w:r>
          </w:p>
        </w:tc>
      </w:tr>
      <w:tr w:rsidR="003004B3" w:rsidRPr="00694373" w14:paraId="67F4B60B" w14:textId="77777777" w:rsidTr="00124416">
        <w:tc>
          <w:tcPr>
            <w:tcW w:w="0" w:type="auto"/>
            <w:shd w:val="clear" w:color="auto" w:fill="FFFFFF"/>
            <w:vAlign w:val="center"/>
            <w:hideMark/>
          </w:tcPr>
          <w:p w14:paraId="5C673C17"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7F79350A" w14:textId="77777777" w:rsidR="003004B3" w:rsidRPr="00694373" w:rsidRDefault="003004B3" w:rsidP="009924AE">
            <w:pPr>
              <w:rPr>
                <w:sz w:val="20"/>
                <w:szCs w:val="20"/>
              </w:rPr>
            </w:pPr>
          </w:p>
        </w:tc>
      </w:tr>
      <w:tr w:rsidR="003004B3" w:rsidRPr="00694373" w14:paraId="20577C79" w14:textId="77777777" w:rsidTr="00124416">
        <w:tc>
          <w:tcPr>
            <w:tcW w:w="0" w:type="auto"/>
            <w:shd w:val="clear" w:color="auto" w:fill="FFFFFF"/>
            <w:tcMar>
              <w:top w:w="90" w:type="dxa"/>
              <w:left w:w="90" w:type="dxa"/>
              <w:bottom w:w="90" w:type="dxa"/>
              <w:right w:w="90" w:type="dxa"/>
            </w:tcMar>
            <w:vAlign w:val="bottom"/>
            <w:hideMark/>
          </w:tcPr>
          <w:p w14:paraId="31F8B61D"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18.</w:t>
            </w:r>
          </w:p>
        </w:tc>
        <w:tc>
          <w:tcPr>
            <w:tcW w:w="0" w:type="auto"/>
            <w:shd w:val="clear" w:color="auto" w:fill="FFFFFF"/>
            <w:tcMar>
              <w:top w:w="90" w:type="dxa"/>
              <w:left w:w="90" w:type="dxa"/>
              <w:bottom w:w="90" w:type="dxa"/>
              <w:right w:w="90" w:type="dxa"/>
            </w:tcMar>
            <w:vAlign w:val="bottom"/>
            <w:hideMark/>
          </w:tcPr>
          <w:p w14:paraId="2D6F4284"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Design an intervention</w:t>
            </w:r>
          </w:p>
        </w:tc>
      </w:tr>
      <w:tr w:rsidR="003004B3" w:rsidRPr="00694373" w14:paraId="734FE9CE" w14:textId="77777777" w:rsidTr="00124416">
        <w:tc>
          <w:tcPr>
            <w:tcW w:w="0" w:type="auto"/>
            <w:shd w:val="clear" w:color="auto" w:fill="FFFFFF"/>
            <w:vAlign w:val="center"/>
            <w:hideMark/>
          </w:tcPr>
          <w:p w14:paraId="574F027A"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0D1ED7F7" w14:textId="77777777" w:rsidR="003004B3" w:rsidRPr="00694373" w:rsidRDefault="003004B3" w:rsidP="009924AE">
            <w:pPr>
              <w:rPr>
                <w:sz w:val="20"/>
                <w:szCs w:val="20"/>
              </w:rPr>
            </w:pPr>
          </w:p>
        </w:tc>
      </w:tr>
      <w:tr w:rsidR="003004B3" w:rsidRPr="00694373" w14:paraId="3F8E4E61" w14:textId="77777777" w:rsidTr="00124416">
        <w:tc>
          <w:tcPr>
            <w:tcW w:w="0" w:type="auto"/>
            <w:shd w:val="clear" w:color="auto" w:fill="FFFFFF"/>
            <w:tcMar>
              <w:top w:w="90" w:type="dxa"/>
              <w:left w:w="90" w:type="dxa"/>
              <w:bottom w:w="90" w:type="dxa"/>
              <w:right w:w="90" w:type="dxa"/>
            </w:tcMar>
            <w:vAlign w:val="bottom"/>
            <w:hideMark/>
          </w:tcPr>
          <w:p w14:paraId="5BC98430"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19.</w:t>
            </w:r>
          </w:p>
        </w:tc>
        <w:tc>
          <w:tcPr>
            <w:tcW w:w="0" w:type="auto"/>
            <w:shd w:val="clear" w:color="auto" w:fill="FFFFFF"/>
            <w:tcMar>
              <w:top w:w="90" w:type="dxa"/>
              <w:left w:w="90" w:type="dxa"/>
              <w:bottom w:w="90" w:type="dxa"/>
              <w:right w:w="90" w:type="dxa"/>
            </w:tcMar>
            <w:vAlign w:val="bottom"/>
            <w:hideMark/>
          </w:tcPr>
          <w:p w14:paraId="5CE1051F"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Provide an evidence-based justification for intervention selection</w:t>
            </w:r>
          </w:p>
        </w:tc>
      </w:tr>
      <w:tr w:rsidR="003004B3" w:rsidRPr="00694373" w14:paraId="341BE772" w14:textId="77777777" w:rsidTr="00124416">
        <w:tc>
          <w:tcPr>
            <w:tcW w:w="0" w:type="auto"/>
            <w:shd w:val="clear" w:color="auto" w:fill="FFFFFF"/>
            <w:vAlign w:val="center"/>
            <w:hideMark/>
          </w:tcPr>
          <w:p w14:paraId="5161AA17"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2AC71FCE" w14:textId="77777777" w:rsidR="003004B3" w:rsidRPr="00694373" w:rsidRDefault="003004B3" w:rsidP="009924AE">
            <w:pPr>
              <w:rPr>
                <w:sz w:val="20"/>
                <w:szCs w:val="20"/>
              </w:rPr>
            </w:pPr>
          </w:p>
        </w:tc>
      </w:tr>
      <w:tr w:rsidR="003004B3" w:rsidRPr="00694373" w14:paraId="4872B73B" w14:textId="77777777" w:rsidTr="00124416">
        <w:tc>
          <w:tcPr>
            <w:tcW w:w="0" w:type="auto"/>
            <w:shd w:val="clear" w:color="auto" w:fill="FFFFFF"/>
            <w:tcMar>
              <w:top w:w="90" w:type="dxa"/>
              <w:left w:w="90" w:type="dxa"/>
              <w:bottom w:w="90" w:type="dxa"/>
              <w:right w:w="90" w:type="dxa"/>
            </w:tcMar>
            <w:vAlign w:val="bottom"/>
            <w:hideMark/>
          </w:tcPr>
          <w:p w14:paraId="2D8AD070"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25.</w:t>
            </w:r>
          </w:p>
        </w:tc>
        <w:tc>
          <w:tcPr>
            <w:tcW w:w="0" w:type="auto"/>
            <w:shd w:val="clear" w:color="auto" w:fill="FFFFFF"/>
            <w:tcMar>
              <w:top w:w="90" w:type="dxa"/>
              <w:left w:w="90" w:type="dxa"/>
              <w:bottom w:w="90" w:type="dxa"/>
              <w:right w:w="90" w:type="dxa"/>
            </w:tcMar>
            <w:vAlign w:val="bottom"/>
            <w:hideMark/>
          </w:tcPr>
          <w:p w14:paraId="416B323A"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Evaluate the efficacy of an intervention</w:t>
            </w:r>
          </w:p>
        </w:tc>
      </w:tr>
      <w:tr w:rsidR="003004B3" w:rsidRPr="00694373" w14:paraId="4C098270" w14:textId="77777777" w:rsidTr="00124416">
        <w:tc>
          <w:tcPr>
            <w:tcW w:w="0" w:type="auto"/>
            <w:shd w:val="clear" w:color="auto" w:fill="FFFFFF"/>
            <w:vAlign w:val="center"/>
            <w:hideMark/>
          </w:tcPr>
          <w:p w14:paraId="73EC3C4E"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48D26F6D" w14:textId="77777777" w:rsidR="003004B3" w:rsidRPr="00694373" w:rsidRDefault="003004B3" w:rsidP="009924AE">
            <w:pPr>
              <w:rPr>
                <w:sz w:val="20"/>
                <w:szCs w:val="20"/>
              </w:rPr>
            </w:pPr>
          </w:p>
        </w:tc>
      </w:tr>
      <w:tr w:rsidR="003004B3" w:rsidRPr="00694373" w14:paraId="029447CB" w14:textId="77777777" w:rsidTr="00124416">
        <w:tc>
          <w:tcPr>
            <w:tcW w:w="0" w:type="auto"/>
            <w:shd w:val="clear" w:color="auto" w:fill="FFFFFF"/>
            <w:tcMar>
              <w:top w:w="90" w:type="dxa"/>
              <w:left w:w="90" w:type="dxa"/>
              <w:bottom w:w="90" w:type="dxa"/>
              <w:right w:w="90" w:type="dxa"/>
            </w:tcMar>
            <w:vAlign w:val="bottom"/>
            <w:hideMark/>
          </w:tcPr>
          <w:p w14:paraId="23DDD45D"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27.</w:t>
            </w:r>
          </w:p>
        </w:tc>
        <w:tc>
          <w:tcPr>
            <w:tcW w:w="0" w:type="auto"/>
            <w:shd w:val="clear" w:color="auto" w:fill="FFFFFF"/>
            <w:tcMar>
              <w:top w:w="90" w:type="dxa"/>
              <w:left w:w="90" w:type="dxa"/>
              <w:bottom w:w="90" w:type="dxa"/>
              <w:right w:w="90" w:type="dxa"/>
            </w:tcMar>
            <w:vAlign w:val="bottom"/>
            <w:hideMark/>
          </w:tcPr>
          <w:p w14:paraId="1028A6D1"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Use education to empower clients and caregivers</w:t>
            </w:r>
          </w:p>
        </w:tc>
      </w:tr>
      <w:tr w:rsidR="003004B3" w:rsidRPr="00694373" w14:paraId="56EBDC2F" w14:textId="77777777" w:rsidTr="00124416">
        <w:tc>
          <w:tcPr>
            <w:tcW w:w="0" w:type="auto"/>
            <w:shd w:val="clear" w:color="auto" w:fill="FFFFFF"/>
            <w:vAlign w:val="center"/>
            <w:hideMark/>
          </w:tcPr>
          <w:p w14:paraId="0D92DC24"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5613F6B2" w14:textId="77777777" w:rsidR="003004B3" w:rsidRPr="00694373" w:rsidRDefault="003004B3" w:rsidP="009924AE">
            <w:pPr>
              <w:rPr>
                <w:sz w:val="20"/>
                <w:szCs w:val="20"/>
              </w:rPr>
            </w:pPr>
          </w:p>
        </w:tc>
      </w:tr>
      <w:tr w:rsidR="003004B3" w:rsidRPr="00694373" w14:paraId="4789B39D" w14:textId="77777777" w:rsidTr="00124416">
        <w:tc>
          <w:tcPr>
            <w:tcW w:w="0" w:type="auto"/>
            <w:shd w:val="clear" w:color="auto" w:fill="FFFFFF"/>
            <w:tcMar>
              <w:top w:w="90" w:type="dxa"/>
              <w:left w:w="90" w:type="dxa"/>
              <w:bottom w:w="90" w:type="dxa"/>
              <w:right w:w="90" w:type="dxa"/>
            </w:tcMar>
            <w:vAlign w:val="bottom"/>
            <w:hideMark/>
          </w:tcPr>
          <w:p w14:paraId="316AE8E4"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30.</w:t>
            </w:r>
          </w:p>
        </w:tc>
        <w:tc>
          <w:tcPr>
            <w:tcW w:w="0" w:type="auto"/>
            <w:shd w:val="clear" w:color="auto" w:fill="FFFFFF"/>
            <w:tcMar>
              <w:top w:w="90" w:type="dxa"/>
              <w:left w:w="90" w:type="dxa"/>
              <w:bottom w:w="90" w:type="dxa"/>
              <w:right w:w="90" w:type="dxa"/>
            </w:tcMar>
            <w:vAlign w:val="bottom"/>
            <w:hideMark/>
          </w:tcPr>
          <w:p w14:paraId="6D75494B"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Empower a client’s self-management and self-efficacy</w:t>
            </w:r>
          </w:p>
        </w:tc>
      </w:tr>
      <w:tr w:rsidR="003004B3" w:rsidRPr="00694373" w14:paraId="65D14196" w14:textId="77777777" w:rsidTr="00124416">
        <w:tc>
          <w:tcPr>
            <w:tcW w:w="0" w:type="auto"/>
            <w:shd w:val="clear" w:color="auto" w:fill="FFFFFF"/>
            <w:vAlign w:val="center"/>
            <w:hideMark/>
          </w:tcPr>
          <w:p w14:paraId="08BC6122"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3DE719B0" w14:textId="77777777" w:rsidR="003004B3" w:rsidRPr="00694373" w:rsidRDefault="003004B3" w:rsidP="009924AE">
            <w:pPr>
              <w:rPr>
                <w:sz w:val="20"/>
                <w:szCs w:val="20"/>
              </w:rPr>
            </w:pPr>
          </w:p>
        </w:tc>
      </w:tr>
      <w:tr w:rsidR="003004B3" w:rsidRPr="00694373" w14:paraId="565D19CD" w14:textId="77777777" w:rsidTr="00124416">
        <w:tc>
          <w:tcPr>
            <w:tcW w:w="0" w:type="auto"/>
            <w:shd w:val="clear" w:color="auto" w:fill="FFFFFF"/>
            <w:tcMar>
              <w:top w:w="90" w:type="dxa"/>
              <w:left w:w="90" w:type="dxa"/>
              <w:bottom w:w="90" w:type="dxa"/>
              <w:right w:w="90" w:type="dxa"/>
            </w:tcMar>
            <w:vAlign w:val="bottom"/>
            <w:hideMark/>
          </w:tcPr>
          <w:p w14:paraId="27CE10BA" w14:textId="77777777" w:rsidR="003004B3" w:rsidRPr="00694373" w:rsidRDefault="003004B3" w:rsidP="009924AE">
            <w:pPr>
              <w:jc w:val="center"/>
              <w:rPr>
                <w:rFonts w:ascii="Verdana" w:hAnsi="Verdana"/>
                <w:color w:val="000000"/>
                <w:sz w:val="19"/>
                <w:szCs w:val="19"/>
              </w:rPr>
            </w:pPr>
            <w:r w:rsidRPr="00694373">
              <w:rPr>
                <w:rFonts w:ascii="Verdana" w:hAnsi="Verdana"/>
                <w:color w:val="000000"/>
                <w:sz w:val="19"/>
                <w:szCs w:val="19"/>
              </w:rPr>
              <w:t>39.</w:t>
            </w:r>
          </w:p>
        </w:tc>
        <w:tc>
          <w:tcPr>
            <w:tcW w:w="0" w:type="auto"/>
            <w:shd w:val="clear" w:color="auto" w:fill="FFFFFF"/>
            <w:tcMar>
              <w:top w:w="90" w:type="dxa"/>
              <w:left w:w="90" w:type="dxa"/>
              <w:bottom w:w="90" w:type="dxa"/>
              <w:right w:w="90" w:type="dxa"/>
            </w:tcMar>
            <w:vAlign w:val="bottom"/>
            <w:hideMark/>
          </w:tcPr>
          <w:p w14:paraId="2764855D" w14:textId="77777777" w:rsidR="003004B3" w:rsidRPr="00694373" w:rsidRDefault="003004B3" w:rsidP="009924AE">
            <w:pPr>
              <w:rPr>
                <w:rFonts w:ascii="Verdana" w:hAnsi="Verdana"/>
                <w:color w:val="000000"/>
                <w:sz w:val="19"/>
                <w:szCs w:val="19"/>
              </w:rPr>
            </w:pPr>
            <w:r w:rsidRPr="00694373">
              <w:rPr>
                <w:rFonts w:ascii="Verdana" w:hAnsi="Verdana"/>
                <w:color w:val="000000"/>
                <w:sz w:val="19"/>
                <w:szCs w:val="19"/>
              </w:rPr>
              <w:t>Maintain professionalism in verbal and written communication</w:t>
            </w:r>
          </w:p>
        </w:tc>
      </w:tr>
      <w:tr w:rsidR="003004B3" w:rsidRPr="00694373" w14:paraId="10644E7F" w14:textId="77777777" w:rsidTr="00124416">
        <w:tc>
          <w:tcPr>
            <w:tcW w:w="0" w:type="auto"/>
            <w:shd w:val="clear" w:color="auto" w:fill="FFFFFF"/>
            <w:vAlign w:val="center"/>
            <w:hideMark/>
          </w:tcPr>
          <w:p w14:paraId="4CB39F38" w14:textId="77777777" w:rsidR="003004B3" w:rsidRPr="00694373" w:rsidRDefault="003004B3" w:rsidP="009924AE">
            <w:pPr>
              <w:rPr>
                <w:rFonts w:ascii="Verdana" w:hAnsi="Verdana"/>
                <w:color w:val="000000"/>
                <w:sz w:val="19"/>
                <w:szCs w:val="19"/>
              </w:rPr>
            </w:pPr>
          </w:p>
        </w:tc>
        <w:tc>
          <w:tcPr>
            <w:tcW w:w="0" w:type="auto"/>
            <w:shd w:val="clear" w:color="auto" w:fill="FFFFFF"/>
            <w:vAlign w:val="center"/>
            <w:hideMark/>
          </w:tcPr>
          <w:p w14:paraId="21F007B4" w14:textId="77777777" w:rsidR="003004B3" w:rsidRPr="00694373" w:rsidRDefault="003004B3" w:rsidP="009924AE">
            <w:pPr>
              <w:rPr>
                <w:sz w:val="20"/>
                <w:szCs w:val="20"/>
              </w:rPr>
            </w:pPr>
          </w:p>
        </w:tc>
      </w:tr>
    </w:tbl>
    <w:p w14:paraId="5F3804A6" w14:textId="77777777" w:rsidR="009924AE" w:rsidRDefault="009924AE" w:rsidP="009924AE">
      <w:pPr>
        <w:spacing w:before="336" w:after="60"/>
        <w:outlineLvl w:val="2"/>
        <w:rPr>
          <w:rFonts w:ascii="Verdana" w:hAnsi="Verdana"/>
          <w:b/>
          <w:bCs/>
          <w:color w:val="000000"/>
          <w:sz w:val="31"/>
          <w:szCs w:val="31"/>
        </w:rPr>
      </w:pPr>
    </w:p>
    <w:p w14:paraId="2B6ED1D2" w14:textId="77777777" w:rsidR="009924AE" w:rsidRDefault="009924AE">
      <w:pPr>
        <w:rPr>
          <w:rFonts w:ascii="Verdana" w:hAnsi="Verdana"/>
          <w:b/>
          <w:bCs/>
          <w:color w:val="000000"/>
          <w:sz w:val="31"/>
          <w:szCs w:val="31"/>
        </w:rPr>
      </w:pPr>
      <w:r>
        <w:rPr>
          <w:rFonts w:ascii="Verdana" w:hAnsi="Verdana"/>
          <w:b/>
          <w:bCs/>
          <w:color w:val="000000"/>
          <w:sz w:val="31"/>
          <w:szCs w:val="31"/>
        </w:rPr>
        <w:br w:type="page"/>
      </w:r>
    </w:p>
    <w:p w14:paraId="73242A43" w14:textId="03172EE6" w:rsidR="003004B3" w:rsidRPr="00694373" w:rsidRDefault="003004B3" w:rsidP="009924AE">
      <w:pPr>
        <w:spacing w:before="336" w:after="60"/>
        <w:outlineLvl w:val="2"/>
        <w:rPr>
          <w:rFonts w:ascii="Verdana" w:hAnsi="Verdana"/>
          <w:b/>
          <w:bCs/>
          <w:color w:val="000000"/>
          <w:sz w:val="31"/>
          <w:szCs w:val="31"/>
        </w:rPr>
      </w:pPr>
      <w:r w:rsidRPr="00694373">
        <w:rPr>
          <w:rFonts w:ascii="Verdana" w:hAnsi="Verdana"/>
          <w:b/>
          <w:bCs/>
          <w:color w:val="000000"/>
          <w:sz w:val="31"/>
          <w:szCs w:val="31"/>
        </w:rPr>
        <w:lastRenderedPageBreak/>
        <w:t>Course intended learning outcomes (CILOs)</w:t>
      </w:r>
    </w:p>
    <w:p w14:paraId="4D763B29" w14:textId="77777777" w:rsidR="003004B3" w:rsidRPr="00694373" w:rsidRDefault="003004B3" w:rsidP="009924AE">
      <w:pPr>
        <w:spacing w:after="288"/>
        <w:rPr>
          <w:rFonts w:ascii="Verdana" w:hAnsi="Verdana"/>
          <w:color w:val="000000"/>
          <w:sz w:val="19"/>
          <w:szCs w:val="19"/>
        </w:rPr>
      </w:pPr>
      <w:r w:rsidRPr="00694373">
        <w:rPr>
          <w:rFonts w:ascii="Verdana" w:hAnsi="Verdana"/>
          <w:color w:val="000000"/>
          <w:sz w:val="19"/>
          <w:szCs w:val="19"/>
        </w:rPr>
        <w:t>The learning outcomes for this subject are as follows:</w:t>
      </w:r>
    </w:p>
    <w:p w14:paraId="4BC8603F"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 xml:space="preserve">Knowledge and skills: Integrate core biomedical and social health science knowledge across the breadth of physiotherapy practice to inform assessment and safe, </w:t>
      </w:r>
      <w:proofErr w:type="gramStart"/>
      <w:r w:rsidRPr="00694373">
        <w:rPr>
          <w:rFonts w:ascii="Verdana" w:hAnsi="Verdana"/>
          <w:color w:val="000000"/>
          <w:sz w:val="19"/>
          <w:szCs w:val="19"/>
        </w:rPr>
        <w:t>competent</w:t>
      </w:r>
      <w:proofErr w:type="gramEnd"/>
      <w:r w:rsidRPr="00694373">
        <w:rPr>
          <w:rFonts w:ascii="Verdana" w:hAnsi="Verdana"/>
          <w:color w:val="000000"/>
          <w:sz w:val="19"/>
          <w:szCs w:val="19"/>
        </w:rPr>
        <w:t xml:space="preserve"> and skilled practical care of individuals across the lifespan as an autonomous practitioner and as a member of an interprofessional team. (01.01)</w:t>
      </w:r>
    </w:p>
    <w:p w14:paraId="61212E3F"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 xml:space="preserve">Clinical reasoning: Identify impairment, </w:t>
      </w:r>
      <w:proofErr w:type="gramStart"/>
      <w:r w:rsidRPr="00694373">
        <w:rPr>
          <w:rFonts w:ascii="Verdana" w:hAnsi="Verdana"/>
          <w:color w:val="000000"/>
          <w:sz w:val="19"/>
          <w:szCs w:val="19"/>
        </w:rPr>
        <w:t>activity</w:t>
      </w:r>
      <w:proofErr w:type="gramEnd"/>
      <w:r w:rsidRPr="00694373">
        <w:rPr>
          <w:rFonts w:ascii="Verdana" w:hAnsi="Verdana"/>
          <w:color w:val="000000"/>
          <w:sz w:val="19"/>
          <w:szCs w:val="19"/>
        </w:rPr>
        <w:t xml:space="preserve"> and participation deficits in individuals in accordance with the International Classification of Function, Disability and Health framework and develop evidence-based care plans in accordance with best practice physiotherapy. (01.02)</w:t>
      </w:r>
    </w:p>
    <w:p w14:paraId="50F80D2A"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Critical thinker: Critically analyse the evidence underpinning practice and effectively apply new knowledge to practice; conduct and disseminate high-quality research to improve professional knowledge and influence direction of future practice. (02.05)</w:t>
      </w:r>
    </w:p>
    <w:p w14:paraId="571DDBC6"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Research-enabled: Apply scientific research skills to advance the evidence base supporting physiotherapy practice. (02.09)</w:t>
      </w:r>
    </w:p>
    <w:p w14:paraId="2F851AC4"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Communication: Communicate effectively using high-level interpersonal skills in both traditional modes of communication and when integrating advances in technology and methods of intervention delivery into patient care. (03.06)</w:t>
      </w:r>
    </w:p>
    <w:p w14:paraId="206090E5" w14:textId="77777777" w:rsidR="003004B3" w:rsidRPr="00694373" w:rsidRDefault="003004B3" w:rsidP="009924AE">
      <w:pPr>
        <w:numPr>
          <w:ilvl w:val="0"/>
          <w:numId w:val="2"/>
        </w:numPr>
        <w:spacing w:before="100" w:beforeAutospacing="1" w:after="100" w:afterAutospacing="1"/>
        <w:rPr>
          <w:rFonts w:ascii="Verdana" w:hAnsi="Verdana"/>
          <w:color w:val="000000"/>
          <w:sz w:val="19"/>
          <w:szCs w:val="19"/>
        </w:rPr>
      </w:pPr>
      <w:r w:rsidRPr="00694373">
        <w:rPr>
          <w:rFonts w:ascii="Verdana" w:hAnsi="Verdana"/>
          <w:color w:val="000000"/>
          <w:sz w:val="19"/>
          <w:szCs w:val="19"/>
        </w:rPr>
        <w:t xml:space="preserve">Client focus: Provide empathetic, </w:t>
      </w:r>
      <w:proofErr w:type="gramStart"/>
      <w:r w:rsidRPr="00694373">
        <w:rPr>
          <w:rFonts w:ascii="Verdana" w:hAnsi="Verdana"/>
          <w:color w:val="000000"/>
          <w:sz w:val="19"/>
          <w:szCs w:val="19"/>
        </w:rPr>
        <w:t>compassionate</w:t>
      </w:r>
      <w:proofErr w:type="gramEnd"/>
      <w:r w:rsidRPr="00694373">
        <w:rPr>
          <w:rFonts w:ascii="Verdana" w:hAnsi="Verdana"/>
          <w:color w:val="000000"/>
          <w:sz w:val="19"/>
          <w:szCs w:val="19"/>
        </w:rPr>
        <w:t xml:space="preserve"> and respectful patient-focused care, facilitating client self-management, advocating for best practice care and empowering clients by education. (04.03)</w:t>
      </w:r>
    </w:p>
    <w:p w14:paraId="33A363CE" w14:textId="77777777" w:rsidR="003004B3" w:rsidRPr="00694373" w:rsidRDefault="003004B3" w:rsidP="009924AE">
      <w:pPr>
        <w:spacing w:before="336" w:after="60"/>
        <w:outlineLvl w:val="2"/>
        <w:rPr>
          <w:rFonts w:ascii="Verdana" w:hAnsi="Verdana"/>
          <w:b/>
          <w:bCs/>
          <w:color w:val="000000"/>
          <w:sz w:val="31"/>
          <w:szCs w:val="31"/>
        </w:rPr>
      </w:pPr>
      <w:r w:rsidRPr="00694373">
        <w:rPr>
          <w:rFonts w:ascii="Verdana" w:hAnsi="Verdana"/>
          <w:b/>
          <w:bCs/>
          <w:color w:val="000000"/>
          <w:sz w:val="31"/>
          <w:szCs w:val="31"/>
        </w:rPr>
        <w:t>Contribution to the development of graduate attributes</w:t>
      </w:r>
    </w:p>
    <w:p w14:paraId="1E389BAC" w14:textId="77777777" w:rsidR="003004B3" w:rsidRPr="00694373" w:rsidRDefault="003004B3" w:rsidP="009924AE">
      <w:pPr>
        <w:spacing w:after="288"/>
        <w:rPr>
          <w:rFonts w:ascii="Verdana" w:hAnsi="Verdana"/>
          <w:color w:val="000000"/>
          <w:sz w:val="19"/>
          <w:szCs w:val="19"/>
        </w:rPr>
      </w:pPr>
      <w:r w:rsidRPr="00694373">
        <w:rPr>
          <w:rFonts w:ascii="Verdana" w:hAnsi="Verdana"/>
          <w:b/>
          <w:bCs/>
          <w:color w:val="000000"/>
          <w:sz w:val="19"/>
          <w:szCs w:val="19"/>
        </w:rPr>
        <w:t>Practice ready</w:t>
      </w:r>
    </w:p>
    <w:p w14:paraId="7CB8D40C" w14:textId="64873D26" w:rsidR="003004B3" w:rsidRPr="00694373" w:rsidRDefault="003004B3" w:rsidP="009924AE">
      <w:pPr>
        <w:spacing w:after="288"/>
        <w:rPr>
          <w:rFonts w:ascii="Verdana" w:hAnsi="Verdana"/>
          <w:color w:val="000000"/>
          <w:sz w:val="19"/>
          <w:szCs w:val="19"/>
        </w:rPr>
      </w:pPr>
      <w:r w:rsidRPr="00694373">
        <w:rPr>
          <w:rFonts w:ascii="Verdana" w:hAnsi="Verdana"/>
          <w:color w:val="000000"/>
          <w:sz w:val="19"/>
          <w:szCs w:val="19"/>
        </w:rPr>
        <w:t>Graduates of the Master of Physiotherapy are knowledgeable, practice-</w:t>
      </w:r>
      <w:r w:rsidR="009924AE" w:rsidRPr="00694373">
        <w:rPr>
          <w:rFonts w:ascii="Verdana" w:hAnsi="Verdana"/>
          <w:color w:val="000000"/>
          <w:sz w:val="19"/>
          <w:szCs w:val="19"/>
        </w:rPr>
        <w:t>ready clinicians</w:t>
      </w:r>
      <w:r w:rsidRPr="00694373">
        <w:rPr>
          <w:rFonts w:ascii="Verdana" w:hAnsi="Verdana"/>
          <w:color w:val="000000"/>
          <w:sz w:val="19"/>
          <w:szCs w:val="19"/>
        </w:rPr>
        <w:t xml:space="preserve">, skilled in providing safe and effective evidence-based care to </w:t>
      </w:r>
      <w:r w:rsidR="009924AE" w:rsidRPr="00694373">
        <w:rPr>
          <w:rFonts w:ascii="Verdana" w:hAnsi="Verdana"/>
          <w:color w:val="000000"/>
          <w:sz w:val="19"/>
          <w:szCs w:val="19"/>
        </w:rPr>
        <w:t>clients across</w:t>
      </w:r>
      <w:r w:rsidRPr="00694373">
        <w:rPr>
          <w:rFonts w:ascii="Verdana" w:hAnsi="Verdana"/>
          <w:color w:val="000000"/>
          <w:sz w:val="19"/>
          <w:szCs w:val="19"/>
        </w:rPr>
        <w:t xml:space="preserve"> the lifespan, using a wide range of therapeutic approaches </w:t>
      </w:r>
      <w:r w:rsidR="009924AE" w:rsidRPr="00694373">
        <w:rPr>
          <w:rFonts w:ascii="Verdana" w:hAnsi="Verdana"/>
          <w:color w:val="000000"/>
          <w:sz w:val="19"/>
          <w:szCs w:val="19"/>
        </w:rPr>
        <w:t>including skilled</w:t>
      </w:r>
      <w:r w:rsidRPr="00694373">
        <w:rPr>
          <w:rFonts w:ascii="Verdana" w:hAnsi="Verdana"/>
          <w:color w:val="000000"/>
          <w:sz w:val="19"/>
          <w:szCs w:val="19"/>
        </w:rPr>
        <w:t xml:space="preserve"> </w:t>
      </w:r>
      <w:r w:rsidR="009924AE" w:rsidRPr="00694373">
        <w:rPr>
          <w:rFonts w:ascii="Verdana" w:hAnsi="Verdana"/>
          <w:color w:val="000000"/>
          <w:sz w:val="19"/>
          <w:szCs w:val="19"/>
        </w:rPr>
        <w:t>hands-on</w:t>
      </w:r>
      <w:r w:rsidRPr="00694373">
        <w:rPr>
          <w:rFonts w:ascii="Verdana" w:hAnsi="Verdana"/>
          <w:color w:val="000000"/>
          <w:sz w:val="19"/>
          <w:szCs w:val="19"/>
        </w:rPr>
        <w:t xml:space="preserve"> practice, and in a variety of clinical settings as both </w:t>
      </w:r>
      <w:r w:rsidR="009924AE" w:rsidRPr="00694373">
        <w:rPr>
          <w:rFonts w:ascii="Verdana" w:hAnsi="Verdana"/>
          <w:color w:val="000000"/>
          <w:sz w:val="19"/>
          <w:szCs w:val="19"/>
        </w:rPr>
        <w:t>independent and</w:t>
      </w:r>
      <w:r w:rsidRPr="00694373">
        <w:rPr>
          <w:rFonts w:ascii="Verdana" w:hAnsi="Verdana"/>
          <w:color w:val="000000"/>
          <w:sz w:val="19"/>
          <w:szCs w:val="19"/>
        </w:rPr>
        <w:t xml:space="preserve"> collaborative practitioners.</w:t>
      </w:r>
    </w:p>
    <w:p w14:paraId="59ABC3E6" w14:textId="77777777" w:rsidR="003004B3" w:rsidRPr="00694373" w:rsidRDefault="003004B3" w:rsidP="009924AE">
      <w:pPr>
        <w:spacing w:after="288"/>
        <w:rPr>
          <w:rFonts w:ascii="Verdana" w:hAnsi="Verdana"/>
          <w:color w:val="000000"/>
          <w:sz w:val="19"/>
          <w:szCs w:val="19"/>
        </w:rPr>
      </w:pPr>
      <w:r w:rsidRPr="00694373">
        <w:rPr>
          <w:rFonts w:ascii="Verdana" w:hAnsi="Verdana"/>
          <w:b/>
          <w:bCs/>
          <w:color w:val="000000"/>
          <w:sz w:val="19"/>
          <w:szCs w:val="19"/>
        </w:rPr>
        <w:t>Research-enabled</w:t>
      </w:r>
    </w:p>
    <w:p w14:paraId="2D872BFE" w14:textId="3C31B93D" w:rsidR="003004B3" w:rsidRPr="00694373" w:rsidRDefault="003004B3" w:rsidP="009924AE">
      <w:pPr>
        <w:spacing w:after="288"/>
        <w:rPr>
          <w:rFonts w:ascii="Verdana" w:hAnsi="Verdana"/>
          <w:color w:val="000000"/>
          <w:sz w:val="19"/>
          <w:szCs w:val="19"/>
        </w:rPr>
      </w:pPr>
      <w:r w:rsidRPr="00694373">
        <w:rPr>
          <w:rFonts w:ascii="Verdana" w:hAnsi="Verdana"/>
          <w:color w:val="000000"/>
          <w:sz w:val="19"/>
          <w:szCs w:val="19"/>
        </w:rPr>
        <w:t xml:space="preserve">Graduates of the Master of Physiotherapy effectively integrate research </w:t>
      </w:r>
      <w:r w:rsidR="009924AE" w:rsidRPr="00694373">
        <w:rPr>
          <w:rFonts w:ascii="Verdana" w:hAnsi="Verdana"/>
          <w:color w:val="000000"/>
          <w:sz w:val="19"/>
          <w:szCs w:val="19"/>
        </w:rPr>
        <w:t>evidence into</w:t>
      </w:r>
      <w:r w:rsidRPr="00694373">
        <w:rPr>
          <w:rFonts w:ascii="Verdana" w:hAnsi="Verdana"/>
          <w:color w:val="000000"/>
          <w:sz w:val="19"/>
          <w:szCs w:val="19"/>
        </w:rPr>
        <w:t xml:space="preserve"> practice, are proactive in identifying gaps in knowledge and are </w:t>
      </w:r>
      <w:r w:rsidR="009924AE" w:rsidRPr="00694373">
        <w:rPr>
          <w:rFonts w:ascii="Verdana" w:hAnsi="Verdana"/>
          <w:color w:val="000000"/>
          <w:sz w:val="19"/>
          <w:szCs w:val="19"/>
        </w:rPr>
        <w:t>competent to</w:t>
      </w:r>
      <w:r w:rsidRPr="00694373">
        <w:rPr>
          <w:rFonts w:ascii="Verdana" w:hAnsi="Verdana"/>
          <w:color w:val="000000"/>
          <w:sz w:val="19"/>
          <w:szCs w:val="19"/>
        </w:rPr>
        <w:t xml:space="preserve"> undertake research to advance the evidence base and inform </w:t>
      </w:r>
      <w:r w:rsidR="009924AE" w:rsidRPr="00694373">
        <w:rPr>
          <w:rFonts w:ascii="Verdana" w:hAnsi="Verdana"/>
          <w:color w:val="000000"/>
          <w:sz w:val="19"/>
          <w:szCs w:val="19"/>
        </w:rPr>
        <w:t>future physiotherapy</w:t>
      </w:r>
      <w:r w:rsidRPr="00694373">
        <w:rPr>
          <w:rFonts w:ascii="Verdana" w:hAnsi="Verdana"/>
          <w:color w:val="000000"/>
          <w:sz w:val="19"/>
          <w:szCs w:val="19"/>
        </w:rPr>
        <w:t xml:space="preserve"> practice.</w:t>
      </w:r>
    </w:p>
    <w:p w14:paraId="35AF7628" w14:textId="77777777" w:rsidR="003004B3" w:rsidRPr="00694373" w:rsidRDefault="003004B3" w:rsidP="009924AE">
      <w:pPr>
        <w:spacing w:after="288"/>
        <w:rPr>
          <w:rFonts w:ascii="Verdana" w:hAnsi="Verdana"/>
          <w:color w:val="000000"/>
          <w:sz w:val="19"/>
          <w:szCs w:val="19"/>
        </w:rPr>
      </w:pPr>
      <w:r w:rsidRPr="00694373">
        <w:rPr>
          <w:rFonts w:ascii="Verdana" w:hAnsi="Verdana"/>
          <w:b/>
          <w:bCs/>
          <w:color w:val="000000"/>
          <w:sz w:val="19"/>
          <w:szCs w:val="19"/>
        </w:rPr>
        <w:t>Professionally Competent</w:t>
      </w:r>
    </w:p>
    <w:p w14:paraId="2754AFEE" w14:textId="77777777" w:rsidR="003004B3" w:rsidRPr="00694373" w:rsidRDefault="003004B3" w:rsidP="009924AE">
      <w:pPr>
        <w:spacing w:after="288"/>
        <w:rPr>
          <w:rFonts w:ascii="Verdana" w:hAnsi="Verdana"/>
          <w:color w:val="000000"/>
          <w:sz w:val="19"/>
          <w:szCs w:val="19"/>
        </w:rPr>
      </w:pPr>
      <w:r w:rsidRPr="00694373">
        <w:rPr>
          <w:rFonts w:ascii="Verdana" w:hAnsi="Verdana"/>
          <w:color w:val="000000"/>
          <w:sz w:val="19"/>
          <w:szCs w:val="19"/>
        </w:rPr>
        <w:t>Graduates of the Master of Physiotherapy embody professional and ethical practice, maintaining knowledge and competence at local and global standards. Graduates embrace opportunities for leadership and advanced roles, utilise deliberate practice to optimise physiotherapy care and advocate for the profession in interdisciplinary contexts.</w:t>
      </w:r>
    </w:p>
    <w:p w14:paraId="76EDF74D" w14:textId="77777777" w:rsidR="003004B3" w:rsidRPr="00694373" w:rsidRDefault="003004B3" w:rsidP="009924AE">
      <w:pPr>
        <w:spacing w:after="288"/>
        <w:rPr>
          <w:rFonts w:ascii="Verdana" w:hAnsi="Verdana"/>
          <w:color w:val="000000"/>
          <w:sz w:val="19"/>
          <w:szCs w:val="19"/>
        </w:rPr>
      </w:pPr>
      <w:r w:rsidRPr="00694373">
        <w:rPr>
          <w:rFonts w:ascii="Verdana" w:hAnsi="Verdana"/>
          <w:b/>
          <w:bCs/>
          <w:color w:val="000000"/>
          <w:sz w:val="19"/>
          <w:szCs w:val="19"/>
        </w:rPr>
        <w:t>Person-centred</w:t>
      </w:r>
    </w:p>
    <w:p w14:paraId="649F582B" w14:textId="5D65B852" w:rsidR="00655660" w:rsidRPr="009924AE" w:rsidRDefault="003004B3" w:rsidP="009924AE">
      <w:pPr>
        <w:spacing w:after="288"/>
        <w:rPr>
          <w:rFonts w:ascii="Verdana" w:hAnsi="Verdana"/>
          <w:color w:val="000000"/>
          <w:sz w:val="19"/>
          <w:szCs w:val="19"/>
        </w:rPr>
      </w:pPr>
      <w:r w:rsidRPr="00694373">
        <w:rPr>
          <w:rFonts w:ascii="Verdana" w:hAnsi="Verdana"/>
          <w:color w:val="000000"/>
          <w:sz w:val="19"/>
          <w:szCs w:val="19"/>
        </w:rPr>
        <w:t>Graduates of the Master of Physiotherapy are empathetic, person-</w:t>
      </w:r>
      <w:r w:rsidR="009924AE" w:rsidRPr="00694373">
        <w:rPr>
          <w:rFonts w:ascii="Verdana" w:hAnsi="Verdana"/>
          <w:color w:val="000000"/>
          <w:sz w:val="19"/>
          <w:szCs w:val="19"/>
        </w:rPr>
        <w:t>centred practitioners</w:t>
      </w:r>
      <w:r w:rsidRPr="00694373">
        <w:rPr>
          <w:rFonts w:ascii="Verdana" w:hAnsi="Verdana"/>
          <w:color w:val="000000"/>
          <w:sz w:val="19"/>
          <w:szCs w:val="19"/>
        </w:rPr>
        <w:t xml:space="preserve"> who empower client self-management and endorse </w:t>
      </w:r>
      <w:r w:rsidR="009924AE" w:rsidRPr="00694373">
        <w:rPr>
          <w:rFonts w:ascii="Verdana" w:hAnsi="Verdana"/>
          <w:color w:val="000000"/>
          <w:sz w:val="19"/>
          <w:szCs w:val="19"/>
        </w:rPr>
        <w:t>preventative care</w:t>
      </w:r>
      <w:r w:rsidRPr="00694373">
        <w:rPr>
          <w:rFonts w:ascii="Verdana" w:hAnsi="Verdana"/>
          <w:color w:val="000000"/>
          <w:sz w:val="19"/>
          <w:szCs w:val="19"/>
        </w:rPr>
        <w:t xml:space="preserve"> by forming and valuing partnerships with individuals, </w:t>
      </w:r>
      <w:proofErr w:type="gramStart"/>
      <w:r w:rsidRPr="00694373">
        <w:rPr>
          <w:rFonts w:ascii="Verdana" w:hAnsi="Verdana"/>
          <w:color w:val="000000"/>
          <w:sz w:val="19"/>
          <w:szCs w:val="19"/>
        </w:rPr>
        <w:t>families</w:t>
      </w:r>
      <w:proofErr w:type="gramEnd"/>
      <w:r w:rsidRPr="00694373">
        <w:rPr>
          <w:rFonts w:ascii="Verdana" w:hAnsi="Verdana"/>
          <w:color w:val="000000"/>
          <w:sz w:val="19"/>
          <w:szCs w:val="19"/>
        </w:rPr>
        <w:t xml:space="preserve"> </w:t>
      </w:r>
      <w:r w:rsidR="009924AE" w:rsidRPr="00694373">
        <w:rPr>
          <w:rFonts w:ascii="Verdana" w:hAnsi="Verdana"/>
          <w:color w:val="000000"/>
          <w:sz w:val="19"/>
          <w:szCs w:val="19"/>
        </w:rPr>
        <w:t>and communities</w:t>
      </w:r>
      <w:r w:rsidRPr="00694373">
        <w:rPr>
          <w:rFonts w:ascii="Verdana" w:hAnsi="Verdana"/>
          <w:color w:val="000000"/>
          <w:sz w:val="19"/>
          <w:szCs w:val="19"/>
        </w:rPr>
        <w:t>.</w:t>
      </w:r>
    </w:p>
    <w:sectPr w:rsidR="00655660" w:rsidRPr="009924AE" w:rsidSect="001B4304">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1D6B" w14:textId="77777777" w:rsidR="002807DB" w:rsidRDefault="002807DB">
      <w:r>
        <w:separator/>
      </w:r>
    </w:p>
  </w:endnote>
  <w:endnote w:type="continuationSeparator" w:id="0">
    <w:p w14:paraId="0F06D796" w14:textId="77777777" w:rsidR="002807DB" w:rsidRDefault="0028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7994181"/>
      <w:docPartObj>
        <w:docPartGallery w:val="Page Numbers (Bottom of Page)"/>
        <w:docPartUnique/>
      </w:docPartObj>
    </w:sdtPr>
    <w:sdtContent>
      <w:p w14:paraId="1280F9D5" w14:textId="77777777" w:rsidR="00227253" w:rsidRDefault="00000000" w:rsidP="003F0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D1E6B" w14:textId="77777777" w:rsidR="00227253" w:rsidRDefault="00227253" w:rsidP="00BE7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562618"/>
      <w:docPartObj>
        <w:docPartGallery w:val="Page Numbers (Bottom of Page)"/>
        <w:docPartUnique/>
      </w:docPartObj>
    </w:sdtPr>
    <w:sdtContent>
      <w:p w14:paraId="005F257C" w14:textId="77777777" w:rsidR="00227253" w:rsidRDefault="00000000" w:rsidP="003F0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5D2DC356" w14:textId="77777777" w:rsidR="00227253" w:rsidRDefault="00227253" w:rsidP="00BE72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4F71" w14:textId="77777777" w:rsidR="00227253" w:rsidRDefault="0022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0EC4" w14:textId="77777777" w:rsidR="002807DB" w:rsidRDefault="002807DB">
      <w:r>
        <w:separator/>
      </w:r>
    </w:p>
  </w:footnote>
  <w:footnote w:type="continuationSeparator" w:id="0">
    <w:p w14:paraId="7A2352F5" w14:textId="77777777" w:rsidR="002807DB" w:rsidRDefault="0028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2E20" w14:textId="77777777" w:rsidR="00227253" w:rsidRDefault="00227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0F1A" w14:textId="77777777" w:rsidR="00227253" w:rsidRDefault="00227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6326" w14:textId="77777777" w:rsidR="00227253" w:rsidRDefault="0022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2476"/>
    <w:multiLevelType w:val="multilevel"/>
    <w:tmpl w:val="E47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835D1"/>
    <w:multiLevelType w:val="hybridMultilevel"/>
    <w:tmpl w:val="C4E03774"/>
    <w:lvl w:ilvl="0" w:tplc="0409000F">
      <w:start w:val="1"/>
      <w:numFmt w:val="decimal"/>
      <w:lvlText w:val="%1."/>
      <w:lvlJc w:val="left"/>
      <w:pPr>
        <w:ind w:left="862" w:hanging="360"/>
      </w:pPr>
      <w:rPr>
        <w:rFont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82716840">
    <w:abstractNumId w:val="1"/>
  </w:num>
  <w:num w:numId="2" w16cid:durableId="1299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1A"/>
    <w:rsid w:val="00006FC5"/>
    <w:rsid w:val="000203DA"/>
    <w:rsid w:val="00065E2C"/>
    <w:rsid w:val="000E15E3"/>
    <w:rsid w:val="00104821"/>
    <w:rsid w:val="00107105"/>
    <w:rsid w:val="00197DE5"/>
    <w:rsid w:val="001B5466"/>
    <w:rsid w:val="0020000B"/>
    <w:rsid w:val="00227253"/>
    <w:rsid w:val="002316BA"/>
    <w:rsid w:val="002750AB"/>
    <w:rsid w:val="002807DB"/>
    <w:rsid w:val="002A0866"/>
    <w:rsid w:val="002A68E2"/>
    <w:rsid w:val="002B53BA"/>
    <w:rsid w:val="002D4ED0"/>
    <w:rsid w:val="002E094B"/>
    <w:rsid w:val="002E10AC"/>
    <w:rsid w:val="002F5643"/>
    <w:rsid w:val="003004B3"/>
    <w:rsid w:val="0030473F"/>
    <w:rsid w:val="00316678"/>
    <w:rsid w:val="00347E4C"/>
    <w:rsid w:val="0037049F"/>
    <w:rsid w:val="00395073"/>
    <w:rsid w:val="003962DF"/>
    <w:rsid w:val="003C2CAF"/>
    <w:rsid w:val="003D1569"/>
    <w:rsid w:val="003E63B2"/>
    <w:rsid w:val="004641B3"/>
    <w:rsid w:val="00491175"/>
    <w:rsid w:val="004B036D"/>
    <w:rsid w:val="004C65E9"/>
    <w:rsid w:val="004D2F89"/>
    <w:rsid w:val="00567538"/>
    <w:rsid w:val="005A4758"/>
    <w:rsid w:val="00655660"/>
    <w:rsid w:val="00667E03"/>
    <w:rsid w:val="00694373"/>
    <w:rsid w:val="0069695A"/>
    <w:rsid w:val="006F4FFF"/>
    <w:rsid w:val="00745D42"/>
    <w:rsid w:val="00753ECC"/>
    <w:rsid w:val="007E7A42"/>
    <w:rsid w:val="007F2F25"/>
    <w:rsid w:val="00812371"/>
    <w:rsid w:val="0083360E"/>
    <w:rsid w:val="00860F39"/>
    <w:rsid w:val="0089177F"/>
    <w:rsid w:val="008A401A"/>
    <w:rsid w:val="008E1579"/>
    <w:rsid w:val="00907A4C"/>
    <w:rsid w:val="009215D9"/>
    <w:rsid w:val="009860D1"/>
    <w:rsid w:val="009924AE"/>
    <w:rsid w:val="009C1CB5"/>
    <w:rsid w:val="009C70D4"/>
    <w:rsid w:val="009E41F8"/>
    <w:rsid w:val="00A0741E"/>
    <w:rsid w:val="00A238ED"/>
    <w:rsid w:val="00A470E2"/>
    <w:rsid w:val="00A94831"/>
    <w:rsid w:val="00A96293"/>
    <w:rsid w:val="00AE5D57"/>
    <w:rsid w:val="00AF1389"/>
    <w:rsid w:val="00B13CB4"/>
    <w:rsid w:val="00B146A4"/>
    <w:rsid w:val="00BA7D5B"/>
    <w:rsid w:val="00BC6240"/>
    <w:rsid w:val="00BC7562"/>
    <w:rsid w:val="00BD34B0"/>
    <w:rsid w:val="00BF5068"/>
    <w:rsid w:val="00C374E2"/>
    <w:rsid w:val="00C40EF2"/>
    <w:rsid w:val="00C64154"/>
    <w:rsid w:val="00CA325B"/>
    <w:rsid w:val="00CA5B78"/>
    <w:rsid w:val="00CB105B"/>
    <w:rsid w:val="00CC01B5"/>
    <w:rsid w:val="00D673BD"/>
    <w:rsid w:val="00D75C17"/>
    <w:rsid w:val="00D81509"/>
    <w:rsid w:val="00D94CC1"/>
    <w:rsid w:val="00DE2C0E"/>
    <w:rsid w:val="00E23995"/>
    <w:rsid w:val="00E57019"/>
    <w:rsid w:val="00E66900"/>
    <w:rsid w:val="00E67FA8"/>
    <w:rsid w:val="00E857AC"/>
    <w:rsid w:val="00E971F5"/>
    <w:rsid w:val="00EA08FB"/>
    <w:rsid w:val="00EB13D4"/>
    <w:rsid w:val="00EB46CA"/>
    <w:rsid w:val="00F141DB"/>
    <w:rsid w:val="00F220E2"/>
    <w:rsid w:val="00F82CF6"/>
    <w:rsid w:val="00FB6BD0"/>
    <w:rsid w:val="00FC4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B76A"/>
  <w15:chartTrackingRefBased/>
  <w15:docId w15:val="{3BAF42B3-0919-864F-9CE6-187FBEA2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1A"/>
    <w:rPr>
      <w:rFonts w:ascii="Times New Roman" w:eastAsia="Times New Roman" w:hAnsi="Times New Roman" w:cs="Times New Roman"/>
      <w:lang w:eastAsia="en-GB"/>
    </w:rPr>
  </w:style>
  <w:style w:type="paragraph" w:styleId="Heading3">
    <w:name w:val="heading 3"/>
    <w:basedOn w:val="Normal"/>
    <w:link w:val="Heading3Char"/>
    <w:uiPriority w:val="9"/>
    <w:qFormat/>
    <w:rsid w:val="006943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01A"/>
    <w:pPr>
      <w:tabs>
        <w:tab w:val="center" w:pos="4513"/>
        <w:tab w:val="right" w:pos="9026"/>
      </w:tabs>
    </w:pPr>
  </w:style>
  <w:style w:type="character" w:customStyle="1" w:styleId="HeaderChar">
    <w:name w:val="Header Char"/>
    <w:basedOn w:val="DefaultParagraphFont"/>
    <w:link w:val="Header"/>
    <w:uiPriority w:val="99"/>
    <w:rsid w:val="008A401A"/>
    <w:rPr>
      <w:rFonts w:ascii="Times New Roman" w:eastAsia="Times New Roman" w:hAnsi="Times New Roman" w:cs="Times New Roman"/>
      <w:lang w:eastAsia="en-GB"/>
    </w:rPr>
  </w:style>
  <w:style w:type="paragraph" w:styleId="Footer">
    <w:name w:val="footer"/>
    <w:basedOn w:val="Normal"/>
    <w:link w:val="FooterChar"/>
    <w:uiPriority w:val="99"/>
    <w:unhideWhenUsed/>
    <w:rsid w:val="008A401A"/>
    <w:pPr>
      <w:tabs>
        <w:tab w:val="center" w:pos="4513"/>
        <w:tab w:val="right" w:pos="9026"/>
      </w:tabs>
    </w:pPr>
  </w:style>
  <w:style w:type="character" w:customStyle="1" w:styleId="FooterChar">
    <w:name w:val="Footer Char"/>
    <w:basedOn w:val="DefaultParagraphFont"/>
    <w:link w:val="Footer"/>
    <w:uiPriority w:val="99"/>
    <w:rsid w:val="008A401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A401A"/>
  </w:style>
  <w:style w:type="paragraph" w:customStyle="1" w:styleId="textbox">
    <w:name w:val="textbox"/>
    <w:basedOn w:val="Normal"/>
    <w:rsid w:val="008A401A"/>
    <w:pPr>
      <w:spacing w:before="100" w:beforeAutospacing="1" w:after="100" w:afterAutospacing="1"/>
    </w:pPr>
    <w:rPr>
      <w:rFonts w:eastAsiaTheme="minorHAnsi"/>
      <w:lang w:val="en-US" w:eastAsia="en-US"/>
    </w:rPr>
  </w:style>
  <w:style w:type="paragraph" w:customStyle="1" w:styleId="TableParagraph">
    <w:name w:val="Table Paragraph"/>
    <w:basedOn w:val="Normal"/>
    <w:uiPriority w:val="1"/>
    <w:qFormat/>
    <w:rsid w:val="008A401A"/>
    <w:pPr>
      <w:widowControl w:val="0"/>
      <w:autoSpaceDE w:val="0"/>
      <w:autoSpaceDN w:val="0"/>
    </w:pPr>
    <w:rPr>
      <w:rFonts w:ascii="Arial" w:eastAsia="Arial" w:hAnsi="Arial" w:cs="Arial"/>
      <w:sz w:val="22"/>
      <w:szCs w:val="22"/>
      <w:lang w:val="en-US" w:eastAsia="en-US" w:bidi="en-US"/>
    </w:rPr>
  </w:style>
  <w:style w:type="character" w:styleId="Hyperlink">
    <w:name w:val="Hyperlink"/>
    <w:basedOn w:val="DefaultParagraphFont"/>
    <w:uiPriority w:val="99"/>
    <w:unhideWhenUsed/>
    <w:rsid w:val="00694373"/>
    <w:rPr>
      <w:color w:val="0563C1" w:themeColor="hyperlink"/>
      <w:u w:val="single"/>
    </w:rPr>
  </w:style>
  <w:style w:type="character" w:styleId="UnresolvedMention">
    <w:name w:val="Unresolved Mention"/>
    <w:basedOn w:val="DefaultParagraphFont"/>
    <w:uiPriority w:val="99"/>
    <w:semiHidden/>
    <w:unhideWhenUsed/>
    <w:rsid w:val="00694373"/>
    <w:rPr>
      <w:color w:val="605E5C"/>
      <w:shd w:val="clear" w:color="auto" w:fill="E1DFDD"/>
    </w:rPr>
  </w:style>
  <w:style w:type="character" w:customStyle="1" w:styleId="Heading3Char">
    <w:name w:val="Heading 3 Char"/>
    <w:basedOn w:val="DefaultParagraphFont"/>
    <w:link w:val="Heading3"/>
    <w:uiPriority w:val="9"/>
    <w:rsid w:val="006943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94373"/>
    <w:pPr>
      <w:spacing w:before="100" w:beforeAutospacing="1" w:after="100" w:afterAutospacing="1"/>
    </w:pPr>
  </w:style>
  <w:style w:type="character" w:styleId="Strong">
    <w:name w:val="Strong"/>
    <w:basedOn w:val="DefaultParagraphFont"/>
    <w:uiPriority w:val="22"/>
    <w:qFormat/>
    <w:rsid w:val="00694373"/>
    <w:rPr>
      <w:b/>
      <w:bCs/>
    </w:rPr>
  </w:style>
  <w:style w:type="paragraph" w:styleId="Revision">
    <w:name w:val="Revision"/>
    <w:hidden/>
    <w:uiPriority w:val="99"/>
    <w:semiHidden/>
    <w:rsid w:val="003004B3"/>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andbook.uts.edu.au/courses/c04306.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Pate</dc:creator>
  <cp:keywords/>
  <dc:description/>
  <cp:lastModifiedBy>Joshua Pate</cp:lastModifiedBy>
  <cp:revision>3</cp:revision>
  <dcterms:created xsi:type="dcterms:W3CDTF">2023-09-16T21:31:00Z</dcterms:created>
  <dcterms:modified xsi:type="dcterms:W3CDTF">2023-09-17T22:54:00Z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2023-02-16T00:17:36Z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e89072ab-9ba8-4ba3-9d09-09cb47042d14</vt:lpwstr>
  </property>
  <property fmtid="{D5CDD505-2E9C-101B-9397-08002B2CF9AE}" pid="8" name="MSIP_Label_51a6c3db-1667-4f49-995a-8b9973972958_ContentBits">
    <vt:lpwstr>0</vt:lpwstr>
  </property>
</Properties>
</file>