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40A18" w14:textId="77777777" w:rsidR="008F0EBA" w:rsidRPr="00AD2382" w:rsidRDefault="00AD2382">
      <w:pPr>
        <w:rPr>
          <w:b/>
        </w:rPr>
      </w:pPr>
      <w:r w:rsidRPr="00AD2382">
        <w:rPr>
          <w:b/>
        </w:rPr>
        <w:t>Appendix: Methods</w:t>
      </w:r>
    </w:p>
    <w:p w14:paraId="20B3F278" w14:textId="77777777" w:rsidR="00AD2382" w:rsidRPr="00AD2382" w:rsidRDefault="00AD2382">
      <w:pPr>
        <w:rPr>
          <w:b/>
        </w:rPr>
      </w:pPr>
      <w:r w:rsidRPr="00AD2382">
        <w:rPr>
          <w:b/>
        </w:rPr>
        <w:t>State Hospital Workforce Deficit Estimator</w:t>
      </w:r>
    </w:p>
    <w:p w14:paraId="32699E77" w14:textId="77777777" w:rsidR="00DD54F6" w:rsidRPr="00A60065" w:rsidRDefault="00DD54F6">
      <w:pPr>
        <w:rPr>
          <w:b/>
          <w:i/>
        </w:rPr>
      </w:pPr>
      <w:r w:rsidRPr="00A60065">
        <w:rPr>
          <w:b/>
          <w:i/>
        </w:rPr>
        <w:t>Workforce Supply</w:t>
      </w:r>
    </w:p>
    <w:p w14:paraId="18F10FE7" w14:textId="77777777" w:rsidR="00827276" w:rsidRPr="00827276" w:rsidRDefault="00AD2382">
      <w:r>
        <w:t>We used a number of publicly available datasets to identif</w:t>
      </w:r>
      <w:r w:rsidR="00E62225">
        <w:t xml:space="preserve">y the available hospital </w:t>
      </w:r>
      <w:r>
        <w:t xml:space="preserve">workforce. For intensivist and hospitalist physicians, we use the January 2020 </w:t>
      </w:r>
      <w:r w:rsidRPr="00AD2382">
        <w:t>Provider Enrollment, Chain an</w:t>
      </w:r>
      <w:r>
        <w:t>d Ownership System (PECOS) file,</w:t>
      </w:r>
      <w:r w:rsidRPr="00AD2382">
        <w:t xml:space="preserve"> </w:t>
      </w:r>
      <w:r>
        <w:t xml:space="preserve">March 2020 </w:t>
      </w:r>
      <w:r w:rsidRPr="00AD2382">
        <w:t>National Plan and Provider Enumeration System (</w:t>
      </w:r>
      <w:r>
        <w:t>NPPES) registry</w:t>
      </w:r>
      <w:r w:rsidRPr="00AD2382">
        <w:t xml:space="preserve">, and the </w:t>
      </w:r>
      <w:r>
        <w:t xml:space="preserve">2017 </w:t>
      </w:r>
      <w:r w:rsidRPr="00AD2382">
        <w:t>Medicare Part B public use file (PUF). The PECOS file and NPPES registry</w:t>
      </w:r>
      <w:r>
        <w:t xml:space="preserve">, which includes provider taxonomy codes, allow identification of </w:t>
      </w:r>
      <w:r w:rsidRPr="00AD2382">
        <w:t>self-reported intensivists</w:t>
      </w:r>
      <w:r>
        <w:t>. We further</w:t>
      </w:r>
      <w:r w:rsidR="00E62225">
        <w:t xml:space="preserve"> cross</w:t>
      </w:r>
      <w:r w:rsidRPr="00AD2382">
        <w:t xml:space="preserve"> referenced </w:t>
      </w:r>
      <w:r>
        <w:t xml:space="preserve">self-identified intensivists </w:t>
      </w:r>
      <w:r w:rsidRPr="00AD2382">
        <w:t>with billing activity for ICU services using the Medicare Part B PUF</w:t>
      </w:r>
      <w:r w:rsidR="00A60065">
        <w:t xml:space="preserve"> to identify intensivists active in the ICU setting</w:t>
      </w:r>
      <w:r>
        <w:t>. Hospitalist physicians w</w:t>
      </w:r>
      <w:r w:rsidR="00E62225">
        <w:t>ere identified</w:t>
      </w:r>
      <w:r>
        <w:t xml:space="preserve"> based on their self-reported taxonomy codes and further limited to physician</w:t>
      </w:r>
      <w:r w:rsidR="00A60065">
        <w:t>s</w:t>
      </w:r>
      <w:r>
        <w:t xml:space="preserve"> with </w:t>
      </w:r>
      <w:r w:rsidR="00A60065">
        <w:t xml:space="preserve">the </w:t>
      </w:r>
      <w:r>
        <w:t>specialties</w:t>
      </w:r>
      <w:r w:rsidR="00A60065">
        <w:t xml:space="preserve"> of</w:t>
      </w:r>
      <w:r w:rsidR="00E62225">
        <w:t xml:space="preserve"> internal medicine, family </w:t>
      </w:r>
      <w:r>
        <w:t>medicine, and OB/GYN</w:t>
      </w:r>
      <w:r w:rsidR="00A60065">
        <w:t xml:space="preserve"> </w:t>
      </w:r>
      <w:r w:rsidR="00E62225">
        <w:t>in the PECOS data. These physicians were further cross referenced to the Medicare PUF and limited to those physician who billed Medicare for inpatient services for more than 90% of their E&amp;M services in 2017.</w:t>
      </w:r>
      <w:r w:rsidR="00E62225">
        <w:rPr>
          <w:rStyle w:val="FootnoteReference"/>
        </w:rPr>
        <w:footnoteReference w:id="1"/>
      </w:r>
    </w:p>
    <w:p w14:paraId="72FBCE22" w14:textId="77777777" w:rsidR="00E62225" w:rsidRDefault="00E62225">
      <w:r>
        <w:t xml:space="preserve">For critical care nurses, we used the 2019 Bureau of Labor Statistics Occupational Employment Statistics </w:t>
      </w:r>
      <w:r w:rsidR="00674145">
        <w:t>(</w:t>
      </w:r>
      <w:r>
        <w:t xml:space="preserve">OES) and 2018 National Sample Survey of Registered Nurses (NSSRN). From the NSSRN, we calculated the ratio of hospital-based RNs and hospital-based Clinical Nurse </w:t>
      </w:r>
      <w:r w:rsidR="00DD54F6">
        <w:t>Specialists</w:t>
      </w:r>
      <w:r w:rsidR="00A60065">
        <w:t xml:space="preserve"> (CNS)</w:t>
      </w:r>
      <w:r>
        <w:t xml:space="preserve">, and then identified the proportion of hospital-based RNs who provide critical care services (Critical Care RNs) </w:t>
      </w:r>
      <w:r w:rsidR="00DD54F6">
        <w:t xml:space="preserve">for every state. In the NSSRN, eight states are </w:t>
      </w:r>
      <w:r w:rsidR="00A60065">
        <w:t>reported in two state regions. We applied the same proportion for each state in the state regions. We calculated the number of RNs and CNSs employed by hospit</w:t>
      </w:r>
      <w:r w:rsidR="00D7434E">
        <w:t>als in every state from the OES, which reports</w:t>
      </w:r>
      <w:r w:rsidR="00A60065">
        <w:t xml:space="preserve"> this workforce as a combined workforce. We then applied the proportion of RNs to CNSs to the total BLS OES hospital nurse workforce, and the proportion of Critical Care Nurses to the hospital RN workforce in each state (Figure 1).</w:t>
      </w:r>
    </w:p>
    <w:p w14:paraId="56FD2335" w14:textId="77777777" w:rsidR="00E21658" w:rsidRDefault="00E21658">
      <w:pPr>
        <w:rPr>
          <w:b/>
        </w:rPr>
      </w:pPr>
    </w:p>
    <w:p w14:paraId="7D9D16F5" w14:textId="1D1F5B45" w:rsidR="005739DC" w:rsidRPr="005739DC" w:rsidRDefault="005739DC">
      <w:pPr>
        <w:rPr>
          <w:b/>
        </w:rPr>
      </w:pPr>
      <w:r w:rsidRPr="005739DC">
        <w:rPr>
          <w:b/>
        </w:rPr>
        <w:t>Figure 1. Calculation for the State Critical Care Nursing (CCRN) Workforce</w:t>
      </w:r>
    </w:p>
    <w:p w14:paraId="0E86B3F0" w14:textId="77777777" w:rsidR="00674145" w:rsidRDefault="00D62D1A">
      <m:oMathPara>
        <m:oMath>
          <m:sSub>
            <m:sSubPr>
              <m:ctrlPr>
                <w:rPr>
                  <w:rFonts w:ascii="Cambria Math" w:hAnsi="Cambria Math"/>
                  <w:i/>
                </w:rPr>
              </m:ctrlPr>
            </m:sSubPr>
            <m:e>
              <m:r>
                <w:rPr>
                  <w:rFonts w:ascii="Cambria Math" w:hAnsi="Cambria Math"/>
                </w:rPr>
                <m:t>CCRN</m:t>
              </m:r>
            </m:e>
            <m:sub>
              <m:r>
                <w:rPr>
                  <w:rFonts w:ascii="Cambria Math" w:hAnsi="Cambria Math"/>
                </w:rPr>
                <m:t>State</m:t>
              </m:r>
            </m:sub>
          </m:sSub>
          <m:r>
            <w:rPr>
              <w:rFonts w:ascii="Cambria Math" w:hAnsi="Cambria Math"/>
            </w:rPr>
            <m:t xml:space="preserve"> = </m:t>
          </m:r>
          <m:d>
            <m:dPr>
              <m:begChr m:val="["/>
              <m:endChr m:val="]"/>
              <m:ctrlPr>
                <w:rPr>
                  <w:rFonts w:ascii="Cambria Math" w:hAnsi="Cambria Math"/>
                  <w:i/>
                </w:rPr>
              </m:ctrlPr>
            </m:dPr>
            <m:e>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RN</m:t>
                          </m:r>
                        </m:num>
                        <m:den>
                          <m:r>
                            <w:rPr>
                              <w:rFonts w:ascii="Cambria Math" w:hAnsi="Cambria Math"/>
                            </w:rPr>
                            <m:t>RN+CNS</m:t>
                          </m:r>
                        </m:den>
                      </m:f>
                    </m:e>
                  </m:d>
                </m:e>
                <m:sub>
                  <m:r>
                    <w:rPr>
                      <w:rFonts w:ascii="Cambria Math" w:hAnsi="Cambria Math"/>
                    </w:rPr>
                    <m:t>State(NSSRN)</m:t>
                  </m:r>
                </m:sub>
              </m:sSub>
              <m:r>
                <w:rPr>
                  <w:rFonts w:ascii="Cambria Math" w:hAnsi="Cambria Math"/>
                </w:rPr>
                <m:t>×</m:t>
              </m:r>
              <m:sSub>
                <m:sSubPr>
                  <m:ctrlPr>
                    <w:rPr>
                      <w:rFonts w:ascii="Cambria Math" w:hAnsi="Cambria Math"/>
                      <w:i/>
                    </w:rPr>
                  </m:ctrlPr>
                </m:sSubPr>
                <m:e>
                  <m:d>
                    <m:dPr>
                      <m:ctrlPr>
                        <w:rPr>
                          <w:rFonts w:ascii="Cambria Math" w:hAnsi="Cambria Math"/>
                          <w:i/>
                        </w:rPr>
                      </m:ctrlPr>
                    </m:dPr>
                    <m:e>
                      <m:r>
                        <w:rPr>
                          <w:rFonts w:ascii="Cambria Math" w:hAnsi="Cambria Math"/>
                        </w:rPr>
                        <m:t>HospRN&amp;CNS</m:t>
                      </m:r>
                    </m:e>
                  </m:d>
                </m:e>
                <m:sub>
                  <m:r>
                    <w:rPr>
                      <w:rFonts w:ascii="Cambria Math" w:hAnsi="Cambria Math"/>
                    </w:rPr>
                    <m:t>State(OES)</m:t>
                  </m:r>
                </m:sub>
              </m:sSub>
            </m:e>
          </m:d>
          <m:r>
            <w:rPr>
              <w:rFonts w:ascii="Cambria Math" w:hAnsi="Cambria Math"/>
            </w:rPr>
            <m:t xml:space="preserve"> ×</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CCRN</m:t>
                      </m:r>
                    </m:num>
                    <m:den>
                      <m:r>
                        <w:rPr>
                          <w:rFonts w:ascii="Cambria Math" w:hAnsi="Cambria Math"/>
                        </w:rPr>
                        <m:t>CCRN+RN</m:t>
                      </m:r>
                    </m:den>
                  </m:f>
                </m:e>
              </m:d>
            </m:e>
            <m:sub>
              <m:r>
                <w:rPr>
                  <w:rFonts w:ascii="Cambria Math" w:hAnsi="Cambria Math"/>
                </w:rPr>
                <m:t>State(NSSRN)</m:t>
              </m:r>
            </m:sub>
          </m:sSub>
        </m:oMath>
      </m:oMathPara>
    </w:p>
    <w:p w14:paraId="60B1A646" w14:textId="77777777" w:rsidR="00A60065" w:rsidRDefault="00A60065"/>
    <w:p w14:paraId="1A44AC17" w14:textId="77777777" w:rsidR="00A60065" w:rsidRDefault="00D7434E">
      <w:r>
        <w:t xml:space="preserve">Hospital pharmacist supply was determined directly from the 2019 BLS OES hospital employed pharmacists data for every state. The respiratory therapist workforce used the FY 2018 American Hospital Association </w:t>
      </w:r>
      <w:r w:rsidR="007D29BC">
        <w:t xml:space="preserve">(AHA) </w:t>
      </w:r>
      <w:r>
        <w:t>Annual Hospital Survey data. This dataset is available to researchers from the AHA.</w:t>
      </w:r>
      <w:r w:rsidR="007D29BC">
        <w:t xml:space="preserve"> The Annual Hospital Survey reports the number of respiratory therapist in every hospital, which we aggregated to the state level. </w:t>
      </w:r>
    </w:p>
    <w:p w14:paraId="578AADF8" w14:textId="77777777" w:rsidR="007D29BC" w:rsidRDefault="007D29BC">
      <w:pPr>
        <w:rPr>
          <w:b/>
          <w:i/>
        </w:rPr>
      </w:pPr>
      <w:r w:rsidRPr="007D29BC">
        <w:rPr>
          <w:b/>
          <w:i/>
        </w:rPr>
        <w:t xml:space="preserve">COVID-19 </w:t>
      </w:r>
      <w:r w:rsidR="00906047">
        <w:rPr>
          <w:b/>
          <w:i/>
        </w:rPr>
        <w:t xml:space="preserve">Hospital </w:t>
      </w:r>
      <w:r w:rsidRPr="007D29BC">
        <w:rPr>
          <w:b/>
          <w:i/>
        </w:rPr>
        <w:t>Workforce Demand</w:t>
      </w:r>
    </w:p>
    <w:p w14:paraId="7E40E519" w14:textId="77777777" w:rsidR="007D29BC" w:rsidRDefault="007D29BC">
      <w:r>
        <w:lastRenderedPageBreak/>
        <w:t>We calculated hospital workforce demand for each state based on projected COVID-19 hospitalizations and ICU cases from the Institute for Health Metrics and Evaluation (IHME) COVID-19 Health Care Utilization Projections</w:t>
      </w:r>
      <w:r>
        <w:rPr>
          <w:rStyle w:val="FootnoteReference"/>
        </w:rPr>
        <w:footnoteReference w:id="2"/>
      </w:r>
      <w:r>
        <w:t xml:space="preserve"> and historical hospital inpatient days from the CMS Medicare Hospital Cost Reports. </w:t>
      </w:r>
      <w:r w:rsidR="00906047">
        <w:t>For IHME projections, we used the maximum number of projected acute hospitalizations and ICU beds for COVID. For baseline hospital occupancy, w</w:t>
      </w:r>
      <w:r>
        <w:t xml:space="preserve">e calculated the total number of inpatient days for </w:t>
      </w:r>
      <w:r w:rsidR="00906047">
        <w:t xml:space="preserve">acute </w:t>
      </w:r>
      <w:r>
        <w:t>hospital and ICU patient days (annualized to Calendar Year 2018) and divided by 365 to determine an average daily non-COVID-19 occupancy of general acute hospital and ICU beds. For acute care beds, we applied a 25% reduction in occupancy to reflect cancellation in elective procedures. We did not apply a reduction to ICU occupancy and ICU demand is less flexible.</w:t>
      </w:r>
    </w:p>
    <w:p w14:paraId="1AA1E067" w14:textId="77777777" w:rsidR="00C7624C" w:rsidRPr="007D29BC" w:rsidRDefault="00906047" w:rsidP="00C7624C">
      <w:r>
        <w:t xml:space="preserve">We multiplied the </w:t>
      </w:r>
      <w:r w:rsidRPr="00906047">
        <w:t xml:space="preserve">IHME </w:t>
      </w:r>
      <w:r>
        <w:t xml:space="preserve">COVID </w:t>
      </w:r>
      <w:r w:rsidR="0039008B">
        <w:t xml:space="preserve">cases </w:t>
      </w:r>
      <w:r>
        <w:t>by</w:t>
      </w:r>
      <w:r w:rsidRPr="00906047">
        <w:t xml:space="preserve"> 3.5 to </w:t>
      </w:r>
      <w:r>
        <w:t>account</w:t>
      </w:r>
      <w:r w:rsidRPr="00906047">
        <w:t xml:space="preserve"> for </w:t>
      </w:r>
      <w:r>
        <w:t xml:space="preserve">work </w:t>
      </w:r>
      <w:r w:rsidRPr="00906047">
        <w:t>shifts</w:t>
      </w:r>
      <w:r w:rsidR="006D43A0">
        <w:t xml:space="preserve"> (i.e</w:t>
      </w:r>
      <w:r w:rsidR="0039008B">
        <w:t>. four 12-hour shifts per week)</w:t>
      </w:r>
      <w:r>
        <w:t xml:space="preserve"> and divided</w:t>
      </w:r>
      <w:r w:rsidRPr="00906047">
        <w:t xml:space="preserve"> by </w:t>
      </w:r>
      <w:r>
        <w:t xml:space="preserve">each professions’ </w:t>
      </w:r>
      <w:r w:rsidRPr="00906047">
        <w:t xml:space="preserve">case load </w:t>
      </w:r>
      <w:r>
        <w:t xml:space="preserve">(i.e. patients per healthcare worker) </w:t>
      </w:r>
      <w:r w:rsidRPr="00906047">
        <w:t>to calculate the number of FTEs needed for every profession</w:t>
      </w:r>
      <w:r w:rsidR="009D1ED4">
        <w:t xml:space="preserve"> (Figure 2)</w:t>
      </w:r>
      <w:r w:rsidRPr="00906047">
        <w:t xml:space="preserve">. </w:t>
      </w:r>
      <w:r w:rsidR="0039008B" w:rsidRPr="00906047">
        <w:t>We assume</w:t>
      </w:r>
      <w:r w:rsidR="0039008B">
        <w:t>d all professions satisfied</w:t>
      </w:r>
      <w:r w:rsidR="0039008B" w:rsidRPr="00906047">
        <w:t xml:space="preserve"> COVID-19 demands </w:t>
      </w:r>
      <w:r w:rsidR="0039008B">
        <w:t>before serving</w:t>
      </w:r>
      <w:r w:rsidR="0039008B" w:rsidRPr="00906047">
        <w:t xml:space="preserve"> non-C</w:t>
      </w:r>
      <w:r w:rsidR="0039008B">
        <w:t>OVID-19 patients – determining the shortage for adequate COVID-19 response and/or the available number of health workers for non COVID-19 patients.</w:t>
      </w:r>
      <w:r w:rsidR="0039008B" w:rsidRPr="0039008B">
        <w:t xml:space="preserve"> </w:t>
      </w:r>
      <w:r w:rsidR="00C7624C">
        <w:t>We compared</w:t>
      </w:r>
      <w:r w:rsidR="00C7624C" w:rsidRPr="00906047">
        <w:t xml:space="preserve"> the demand data against the supply data </w:t>
      </w:r>
      <w:r w:rsidR="00C7624C">
        <w:t>for the</w:t>
      </w:r>
      <w:r w:rsidR="00C7624C" w:rsidRPr="00906047">
        <w:t xml:space="preserve"> various health care worker</w:t>
      </w:r>
      <w:r w:rsidR="00C7624C">
        <w:t xml:space="preserve"> and </w:t>
      </w:r>
      <w:r w:rsidR="00C7624C" w:rsidRPr="00906047">
        <w:t>categorize</w:t>
      </w:r>
      <w:r w:rsidR="00C7624C">
        <w:t>d</w:t>
      </w:r>
      <w:r w:rsidR="00C7624C" w:rsidRPr="00906047">
        <w:t xml:space="preserve"> states by w</w:t>
      </w:r>
      <w:r w:rsidR="00C7624C">
        <w:t>hether they had sufficient supply to meet COVID demands for each</w:t>
      </w:r>
      <w:r w:rsidR="00C7624C" w:rsidRPr="00906047">
        <w:t xml:space="preserve"> profession under </w:t>
      </w:r>
      <w:r w:rsidR="00C7624C">
        <w:t xml:space="preserve">the </w:t>
      </w:r>
      <w:r w:rsidR="00C7624C" w:rsidRPr="00906047">
        <w:t xml:space="preserve">3 different </w:t>
      </w:r>
      <w:r w:rsidR="00C7624C">
        <w:t xml:space="preserve">IHME COVID-19 </w:t>
      </w:r>
      <w:r w:rsidR="00C7624C" w:rsidRPr="00906047">
        <w:t xml:space="preserve">demand scenarios (low, mean, high). </w:t>
      </w:r>
    </w:p>
    <w:p w14:paraId="4F2A8DAF" w14:textId="77777777" w:rsidR="0039008B" w:rsidRDefault="0039008B" w:rsidP="0039008B">
      <w:r>
        <w:t>The Estimator tool also supported real-time calculations applying different worker</w:t>
      </w:r>
      <w:r w:rsidRPr="00906047">
        <w:t xml:space="preserve"> attrition rate</w:t>
      </w:r>
      <w:r>
        <w:t>s</w:t>
      </w:r>
      <w:r w:rsidRPr="00906047">
        <w:t xml:space="preserve"> to account for sickness, fatigue, and/or other reasons</w:t>
      </w:r>
      <w:r>
        <w:t xml:space="preserve">, as well as adjusting health worker </w:t>
      </w:r>
      <w:proofErr w:type="spellStart"/>
      <w:r>
        <w:t>case loads</w:t>
      </w:r>
      <w:proofErr w:type="spellEnd"/>
      <w:r>
        <w:t xml:space="preserve"> using baseline or surge staffing models (Table 1)</w:t>
      </w:r>
      <w:r w:rsidRPr="00906047">
        <w:t>.</w:t>
      </w:r>
      <w:r>
        <w:t xml:space="preserve"> These staffing models were based on early surge capacity staffing recommendations from the University of California, San Francisco </w:t>
      </w:r>
      <w:proofErr w:type="spellStart"/>
      <w:r>
        <w:t>Healthforce</w:t>
      </w:r>
      <w:proofErr w:type="spellEnd"/>
      <w:r>
        <w:t xml:space="preserve"> Center.</w:t>
      </w:r>
      <w:r>
        <w:rPr>
          <w:rStyle w:val="FootnoteReference"/>
        </w:rPr>
        <w:footnoteReference w:id="3"/>
      </w:r>
      <w:r w:rsidR="008B5840">
        <w:t xml:space="preserve"> All data for each type of healthcare worker was made available in a downloadable excel spreadsheet that also allowed users to override staffing assumptions, including shifts per week, hours per shift, provider to patient ratios, number of available intensivists, and number of COVID patients. Figure 3 provides screenshot of the calculator for Intensivists.</w:t>
      </w:r>
    </w:p>
    <w:p w14:paraId="2E8A4A3E" w14:textId="77777777" w:rsidR="0001621A" w:rsidRPr="0001621A" w:rsidRDefault="00EE34B3" w:rsidP="0039008B">
      <w:pPr>
        <w:rPr>
          <w:b/>
        </w:rPr>
      </w:pPr>
      <w:r>
        <w:rPr>
          <w:b/>
        </w:rPr>
        <w:t xml:space="preserve">Appendix </w:t>
      </w:r>
      <w:r w:rsidR="0001621A">
        <w:rPr>
          <w:b/>
        </w:rPr>
        <w:t>Figure 2. COVID-19 Critical Care Nurse (CCRN) Demand</w:t>
      </w:r>
    </w:p>
    <w:p w14:paraId="0A4EF3EF" w14:textId="77777777" w:rsidR="0039008B" w:rsidRPr="007D29BC" w:rsidRDefault="0001621A" w:rsidP="0039008B">
      <m:oMathPara>
        <m:oMath>
          <m:r>
            <w:rPr>
              <w:rFonts w:ascii="Cambria Math" w:hAnsi="Cambria Math"/>
            </w:rPr>
            <m:t xml:space="preserve">CCRN Demand= </m:t>
          </m:r>
          <m:f>
            <m:fPr>
              <m:ctrlPr>
                <w:rPr>
                  <w:rFonts w:ascii="Cambria Math" w:hAnsi="Cambria Math"/>
                  <w:i/>
                </w:rPr>
              </m:ctrlPr>
            </m:fPr>
            <m:num>
              <m:sSub>
                <m:sSubPr>
                  <m:ctrlPr>
                    <w:rPr>
                      <w:rFonts w:ascii="Cambria Math" w:hAnsi="Cambria Math"/>
                      <w:i/>
                    </w:rPr>
                  </m:ctrlPr>
                </m:sSubPr>
                <m:e>
                  <m:r>
                    <w:rPr>
                      <w:rFonts w:ascii="Cambria Math" w:hAnsi="Cambria Math"/>
                    </w:rPr>
                    <m:t>ICU Beds</m:t>
                  </m:r>
                </m:e>
                <m:sub>
                  <m:r>
                    <w:rPr>
                      <w:rFonts w:ascii="Cambria Math" w:hAnsi="Cambria Math"/>
                    </w:rPr>
                    <m:t>IHME</m:t>
                  </m:r>
                </m:sub>
              </m:sSub>
              <m:r>
                <w:rPr>
                  <w:rFonts w:ascii="Cambria Math" w:hAnsi="Cambria Math"/>
                </w:rPr>
                <m:t>×</m:t>
              </m:r>
              <m:sSub>
                <m:sSubPr>
                  <m:ctrlPr>
                    <w:rPr>
                      <w:rFonts w:ascii="Cambria Math" w:hAnsi="Cambria Math"/>
                      <w:i/>
                    </w:rPr>
                  </m:ctrlPr>
                </m:sSubPr>
                <m:e>
                  <m:r>
                    <w:rPr>
                      <w:rFonts w:ascii="Cambria Math" w:hAnsi="Cambria Math"/>
                    </w:rPr>
                    <m:t xml:space="preserve">3.5 </m:t>
                  </m:r>
                </m:e>
                <m:sub>
                  <m:r>
                    <w:rPr>
                      <w:rFonts w:ascii="Cambria Math" w:hAnsi="Cambria Math"/>
                    </w:rPr>
                    <m:t>Work Shifts</m:t>
                  </m:r>
                </m:sub>
              </m:sSub>
            </m:num>
            <m:den>
              <m:r>
                <w:rPr>
                  <w:rFonts w:ascii="Cambria Math" w:hAnsi="Cambria Math"/>
                </w:rPr>
                <m:t>Case Load</m:t>
              </m:r>
            </m:den>
          </m:f>
          <m:r>
            <w:rPr>
              <w:rFonts w:ascii="Cambria Math" w:hAnsi="Cambria Math"/>
            </w:rPr>
            <m:t xml:space="preserve"> </m:t>
          </m:r>
        </m:oMath>
      </m:oMathPara>
    </w:p>
    <w:p w14:paraId="11F0CF46" w14:textId="77777777" w:rsidR="0001621A" w:rsidRDefault="0001621A"/>
    <w:p w14:paraId="5E4C73CA" w14:textId="77777777" w:rsidR="0001621A" w:rsidRDefault="00EE34B3">
      <w:r>
        <w:rPr>
          <w:b/>
        </w:rPr>
        <w:t xml:space="preserve">Appendix </w:t>
      </w:r>
      <w:r w:rsidR="0001621A">
        <w:rPr>
          <w:b/>
        </w:rPr>
        <w:t>Table 1. Profession Case Loads for Baseline and Surge Staffing Models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01621A" w:rsidRPr="0001621A" w14:paraId="6E042B22" w14:textId="77777777" w:rsidTr="0001621A">
        <w:tc>
          <w:tcPr>
            <w:tcW w:w="1558" w:type="dxa"/>
            <w:shd w:val="clear" w:color="auto" w:fill="D9D9D9" w:themeFill="background1" w:themeFillShade="D9"/>
          </w:tcPr>
          <w:p w14:paraId="3602F189" w14:textId="77777777" w:rsidR="0001621A" w:rsidRPr="0001621A" w:rsidRDefault="0001621A">
            <w:pPr>
              <w:rPr>
                <w:b/>
                <w:sz w:val="20"/>
                <w:szCs w:val="20"/>
              </w:rPr>
            </w:pPr>
          </w:p>
        </w:tc>
        <w:tc>
          <w:tcPr>
            <w:tcW w:w="1558" w:type="dxa"/>
            <w:shd w:val="clear" w:color="auto" w:fill="D9D9D9" w:themeFill="background1" w:themeFillShade="D9"/>
          </w:tcPr>
          <w:p w14:paraId="29F8F6DA" w14:textId="77777777" w:rsidR="0001621A" w:rsidRPr="0001621A" w:rsidRDefault="0001621A">
            <w:pPr>
              <w:rPr>
                <w:b/>
                <w:sz w:val="20"/>
                <w:szCs w:val="20"/>
              </w:rPr>
            </w:pPr>
            <w:r w:rsidRPr="0001621A">
              <w:rPr>
                <w:b/>
                <w:sz w:val="20"/>
                <w:szCs w:val="20"/>
              </w:rPr>
              <w:t>Critical Care Nurses (CCRN)</w:t>
            </w:r>
          </w:p>
        </w:tc>
        <w:tc>
          <w:tcPr>
            <w:tcW w:w="1558" w:type="dxa"/>
            <w:shd w:val="clear" w:color="auto" w:fill="D9D9D9" w:themeFill="background1" w:themeFillShade="D9"/>
          </w:tcPr>
          <w:p w14:paraId="4F22DA1E" w14:textId="77777777" w:rsidR="0001621A" w:rsidRPr="0001621A" w:rsidRDefault="0001621A">
            <w:pPr>
              <w:rPr>
                <w:b/>
                <w:sz w:val="20"/>
                <w:szCs w:val="20"/>
              </w:rPr>
            </w:pPr>
            <w:r w:rsidRPr="0001621A">
              <w:rPr>
                <w:b/>
                <w:sz w:val="20"/>
                <w:szCs w:val="20"/>
              </w:rPr>
              <w:t>Hospitalists</w:t>
            </w:r>
          </w:p>
        </w:tc>
        <w:tc>
          <w:tcPr>
            <w:tcW w:w="1558" w:type="dxa"/>
            <w:shd w:val="clear" w:color="auto" w:fill="D9D9D9" w:themeFill="background1" w:themeFillShade="D9"/>
          </w:tcPr>
          <w:p w14:paraId="07169156" w14:textId="77777777" w:rsidR="0001621A" w:rsidRPr="0001621A" w:rsidRDefault="0001621A">
            <w:pPr>
              <w:rPr>
                <w:b/>
                <w:sz w:val="20"/>
                <w:szCs w:val="20"/>
              </w:rPr>
            </w:pPr>
            <w:r w:rsidRPr="0001621A">
              <w:rPr>
                <w:b/>
                <w:sz w:val="20"/>
                <w:szCs w:val="20"/>
              </w:rPr>
              <w:t>Intensivists</w:t>
            </w:r>
          </w:p>
        </w:tc>
        <w:tc>
          <w:tcPr>
            <w:tcW w:w="1559" w:type="dxa"/>
            <w:shd w:val="clear" w:color="auto" w:fill="D9D9D9" w:themeFill="background1" w:themeFillShade="D9"/>
          </w:tcPr>
          <w:p w14:paraId="07D23AF4" w14:textId="77777777" w:rsidR="0001621A" w:rsidRPr="0001621A" w:rsidRDefault="0001621A">
            <w:pPr>
              <w:rPr>
                <w:b/>
                <w:sz w:val="20"/>
                <w:szCs w:val="20"/>
              </w:rPr>
            </w:pPr>
            <w:r w:rsidRPr="0001621A">
              <w:rPr>
                <w:b/>
                <w:sz w:val="20"/>
                <w:szCs w:val="20"/>
              </w:rPr>
              <w:t>Pharmacists</w:t>
            </w:r>
          </w:p>
        </w:tc>
        <w:tc>
          <w:tcPr>
            <w:tcW w:w="1559" w:type="dxa"/>
            <w:shd w:val="clear" w:color="auto" w:fill="D9D9D9" w:themeFill="background1" w:themeFillShade="D9"/>
          </w:tcPr>
          <w:p w14:paraId="272C6AA6" w14:textId="77777777" w:rsidR="0001621A" w:rsidRPr="0001621A" w:rsidRDefault="0001621A">
            <w:pPr>
              <w:rPr>
                <w:b/>
                <w:sz w:val="20"/>
                <w:szCs w:val="20"/>
              </w:rPr>
            </w:pPr>
            <w:r w:rsidRPr="0001621A">
              <w:rPr>
                <w:b/>
                <w:sz w:val="20"/>
                <w:szCs w:val="20"/>
              </w:rPr>
              <w:t>Respiratory Therapists</w:t>
            </w:r>
          </w:p>
        </w:tc>
      </w:tr>
      <w:tr w:rsidR="0001621A" w:rsidRPr="0001621A" w14:paraId="27BA31D2" w14:textId="77777777" w:rsidTr="00D92CD3">
        <w:tc>
          <w:tcPr>
            <w:tcW w:w="9350" w:type="dxa"/>
            <w:gridSpan w:val="6"/>
            <w:shd w:val="clear" w:color="auto" w:fill="F2F2F2" w:themeFill="background1" w:themeFillShade="F2"/>
          </w:tcPr>
          <w:p w14:paraId="30F7A679" w14:textId="77777777" w:rsidR="0001621A" w:rsidRPr="0001621A" w:rsidRDefault="0001621A">
            <w:pPr>
              <w:rPr>
                <w:b/>
                <w:sz w:val="20"/>
                <w:szCs w:val="20"/>
              </w:rPr>
            </w:pPr>
            <w:r w:rsidRPr="0001621A">
              <w:rPr>
                <w:b/>
                <w:sz w:val="20"/>
                <w:szCs w:val="20"/>
              </w:rPr>
              <w:t>ICU Beds</w:t>
            </w:r>
          </w:p>
        </w:tc>
      </w:tr>
      <w:tr w:rsidR="0001621A" w:rsidRPr="0001621A" w14:paraId="576BC77D" w14:textId="77777777" w:rsidTr="0001621A">
        <w:tc>
          <w:tcPr>
            <w:tcW w:w="1558" w:type="dxa"/>
          </w:tcPr>
          <w:p w14:paraId="2D16122B" w14:textId="77777777" w:rsidR="0001621A" w:rsidRPr="0001621A" w:rsidRDefault="0001621A">
            <w:pPr>
              <w:rPr>
                <w:sz w:val="20"/>
                <w:szCs w:val="20"/>
              </w:rPr>
            </w:pPr>
            <w:r w:rsidRPr="0001621A">
              <w:rPr>
                <w:sz w:val="20"/>
                <w:szCs w:val="20"/>
              </w:rPr>
              <w:lastRenderedPageBreak/>
              <w:t>Patients Per FTE – Baseline</w:t>
            </w:r>
          </w:p>
        </w:tc>
        <w:tc>
          <w:tcPr>
            <w:tcW w:w="1558" w:type="dxa"/>
          </w:tcPr>
          <w:p w14:paraId="42C3BD09" w14:textId="77777777" w:rsidR="0001621A" w:rsidRPr="0001621A" w:rsidRDefault="0001621A" w:rsidP="0001621A">
            <w:pPr>
              <w:jc w:val="center"/>
              <w:rPr>
                <w:sz w:val="20"/>
                <w:szCs w:val="20"/>
              </w:rPr>
            </w:pPr>
            <w:r>
              <w:rPr>
                <w:sz w:val="20"/>
                <w:szCs w:val="20"/>
              </w:rPr>
              <w:t>1</w:t>
            </w:r>
          </w:p>
        </w:tc>
        <w:tc>
          <w:tcPr>
            <w:tcW w:w="1558" w:type="dxa"/>
          </w:tcPr>
          <w:p w14:paraId="6A37CBB2" w14:textId="77777777" w:rsidR="0001621A" w:rsidRPr="0001621A" w:rsidRDefault="0001621A" w:rsidP="0001621A">
            <w:pPr>
              <w:jc w:val="center"/>
              <w:rPr>
                <w:sz w:val="20"/>
                <w:szCs w:val="20"/>
              </w:rPr>
            </w:pPr>
            <w:r>
              <w:rPr>
                <w:sz w:val="20"/>
                <w:szCs w:val="20"/>
              </w:rPr>
              <w:t>N/A</w:t>
            </w:r>
          </w:p>
        </w:tc>
        <w:tc>
          <w:tcPr>
            <w:tcW w:w="1558" w:type="dxa"/>
          </w:tcPr>
          <w:p w14:paraId="798E6C2A" w14:textId="77777777" w:rsidR="0001621A" w:rsidRPr="0001621A" w:rsidRDefault="0001621A" w:rsidP="0001621A">
            <w:pPr>
              <w:jc w:val="center"/>
              <w:rPr>
                <w:sz w:val="20"/>
                <w:szCs w:val="20"/>
              </w:rPr>
            </w:pPr>
            <w:r>
              <w:rPr>
                <w:sz w:val="20"/>
                <w:szCs w:val="20"/>
              </w:rPr>
              <w:t>7</w:t>
            </w:r>
          </w:p>
        </w:tc>
        <w:tc>
          <w:tcPr>
            <w:tcW w:w="1559" w:type="dxa"/>
          </w:tcPr>
          <w:p w14:paraId="67D874CD" w14:textId="77777777" w:rsidR="0001621A" w:rsidRPr="0001621A" w:rsidRDefault="0001621A" w:rsidP="0001621A">
            <w:pPr>
              <w:jc w:val="center"/>
              <w:rPr>
                <w:sz w:val="20"/>
                <w:szCs w:val="20"/>
              </w:rPr>
            </w:pPr>
            <w:r>
              <w:rPr>
                <w:sz w:val="20"/>
                <w:szCs w:val="20"/>
              </w:rPr>
              <w:t>8</w:t>
            </w:r>
          </w:p>
        </w:tc>
        <w:tc>
          <w:tcPr>
            <w:tcW w:w="1559" w:type="dxa"/>
          </w:tcPr>
          <w:p w14:paraId="7605CBE3" w14:textId="77777777" w:rsidR="0001621A" w:rsidRPr="0001621A" w:rsidRDefault="0001621A" w:rsidP="0001621A">
            <w:pPr>
              <w:jc w:val="center"/>
              <w:rPr>
                <w:sz w:val="20"/>
                <w:szCs w:val="20"/>
              </w:rPr>
            </w:pPr>
            <w:r>
              <w:rPr>
                <w:sz w:val="20"/>
                <w:szCs w:val="20"/>
              </w:rPr>
              <w:t>4</w:t>
            </w:r>
          </w:p>
        </w:tc>
      </w:tr>
      <w:tr w:rsidR="0001621A" w:rsidRPr="0001621A" w14:paraId="69F1F2D1" w14:textId="77777777" w:rsidTr="0001621A">
        <w:tc>
          <w:tcPr>
            <w:tcW w:w="1558" w:type="dxa"/>
          </w:tcPr>
          <w:p w14:paraId="5CD0E259" w14:textId="77777777" w:rsidR="0001621A" w:rsidRPr="0001621A" w:rsidRDefault="0001621A">
            <w:pPr>
              <w:rPr>
                <w:sz w:val="20"/>
                <w:szCs w:val="20"/>
              </w:rPr>
            </w:pPr>
            <w:r w:rsidRPr="0001621A">
              <w:rPr>
                <w:sz w:val="20"/>
                <w:szCs w:val="20"/>
              </w:rPr>
              <w:t>Patients Per FTE – Surge</w:t>
            </w:r>
          </w:p>
        </w:tc>
        <w:tc>
          <w:tcPr>
            <w:tcW w:w="1558" w:type="dxa"/>
          </w:tcPr>
          <w:p w14:paraId="5488454D" w14:textId="77777777" w:rsidR="0001621A" w:rsidRPr="0001621A" w:rsidRDefault="0001621A" w:rsidP="0001621A">
            <w:pPr>
              <w:jc w:val="center"/>
              <w:rPr>
                <w:sz w:val="20"/>
                <w:szCs w:val="20"/>
              </w:rPr>
            </w:pPr>
            <w:r>
              <w:rPr>
                <w:sz w:val="20"/>
                <w:szCs w:val="20"/>
              </w:rPr>
              <w:t>3</w:t>
            </w:r>
          </w:p>
        </w:tc>
        <w:tc>
          <w:tcPr>
            <w:tcW w:w="1558" w:type="dxa"/>
          </w:tcPr>
          <w:p w14:paraId="0AD77411" w14:textId="77777777" w:rsidR="0001621A" w:rsidRPr="0001621A" w:rsidRDefault="0001621A" w:rsidP="0001621A">
            <w:pPr>
              <w:jc w:val="center"/>
              <w:rPr>
                <w:sz w:val="20"/>
                <w:szCs w:val="20"/>
              </w:rPr>
            </w:pPr>
            <w:r>
              <w:rPr>
                <w:sz w:val="20"/>
                <w:szCs w:val="20"/>
              </w:rPr>
              <w:t>N/A</w:t>
            </w:r>
          </w:p>
        </w:tc>
        <w:tc>
          <w:tcPr>
            <w:tcW w:w="1558" w:type="dxa"/>
          </w:tcPr>
          <w:p w14:paraId="068C6288" w14:textId="77777777" w:rsidR="0001621A" w:rsidRPr="0001621A" w:rsidRDefault="0001621A" w:rsidP="0001621A">
            <w:pPr>
              <w:jc w:val="center"/>
              <w:rPr>
                <w:sz w:val="20"/>
                <w:szCs w:val="20"/>
              </w:rPr>
            </w:pPr>
            <w:r>
              <w:rPr>
                <w:sz w:val="20"/>
                <w:szCs w:val="20"/>
              </w:rPr>
              <w:t>10</w:t>
            </w:r>
          </w:p>
        </w:tc>
        <w:tc>
          <w:tcPr>
            <w:tcW w:w="1559" w:type="dxa"/>
          </w:tcPr>
          <w:p w14:paraId="52ACB147" w14:textId="77777777" w:rsidR="0001621A" w:rsidRPr="0001621A" w:rsidRDefault="0001621A" w:rsidP="0001621A">
            <w:pPr>
              <w:jc w:val="center"/>
              <w:rPr>
                <w:sz w:val="20"/>
                <w:szCs w:val="20"/>
              </w:rPr>
            </w:pPr>
            <w:r>
              <w:rPr>
                <w:sz w:val="20"/>
                <w:szCs w:val="20"/>
              </w:rPr>
              <w:t>30</w:t>
            </w:r>
          </w:p>
        </w:tc>
        <w:tc>
          <w:tcPr>
            <w:tcW w:w="1559" w:type="dxa"/>
          </w:tcPr>
          <w:p w14:paraId="4619E1A3" w14:textId="77777777" w:rsidR="0001621A" w:rsidRPr="0001621A" w:rsidRDefault="0001621A" w:rsidP="0001621A">
            <w:pPr>
              <w:jc w:val="center"/>
              <w:rPr>
                <w:sz w:val="20"/>
                <w:szCs w:val="20"/>
              </w:rPr>
            </w:pPr>
            <w:r>
              <w:rPr>
                <w:sz w:val="20"/>
                <w:szCs w:val="20"/>
              </w:rPr>
              <w:t>6</w:t>
            </w:r>
          </w:p>
        </w:tc>
      </w:tr>
      <w:tr w:rsidR="0001621A" w:rsidRPr="0001621A" w14:paraId="6B06EF03" w14:textId="77777777" w:rsidTr="00D92CD3">
        <w:tc>
          <w:tcPr>
            <w:tcW w:w="9350" w:type="dxa"/>
            <w:gridSpan w:val="6"/>
            <w:shd w:val="clear" w:color="auto" w:fill="F2F2F2" w:themeFill="background1" w:themeFillShade="F2"/>
          </w:tcPr>
          <w:p w14:paraId="01FD3C82" w14:textId="77777777" w:rsidR="0001621A" w:rsidRPr="0001621A" w:rsidRDefault="0001621A">
            <w:pPr>
              <w:rPr>
                <w:b/>
                <w:sz w:val="20"/>
                <w:szCs w:val="20"/>
              </w:rPr>
            </w:pPr>
            <w:r w:rsidRPr="0001621A">
              <w:rPr>
                <w:b/>
                <w:sz w:val="20"/>
                <w:szCs w:val="20"/>
              </w:rPr>
              <w:t>Acute Hospital Beds</w:t>
            </w:r>
          </w:p>
        </w:tc>
      </w:tr>
      <w:tr w:rsidR="0001621A" w:rsidRPr="0001621A" w14:paraId="42A1EA3C" w14:textId="77777777" w:rsidTr="0001621A">
        <w:tc>
          <w:tcPr>
            <w:tcW w:w="1558" w:type="dxa"/>
          </w:tcPr>
          <w:p w14:paraId="040C313E" w14:textId="77777777" w:rsidR="0001621A" w:rsidRPr="0001621A" w:rsidRDefault="0001621A" w:rsidP="0001621A">
            <w:pPr>
              <w:rPr>
                <w:sz w:val="20"/>
                <w:szCs w:val="20"/>
              </w:rPr>
            </w:pPr>
            <w:r w:rsidRPr="0001621A">
              <w:rPr>
                <w:sz w:val="20"/>
                <w:szCs w:val="20"/>
              </w:rPr>
              <w:t>Patients Per FTE – Baseline</w:t>
            </w:r>
          </w:p>
        </w:tc>
        <w:tc>
          <w:tcPr>
            <w:tcW w:w="1558" w:type="dxa"/>
          </w:tcPr>
          <w:p w14:paraId="62C9D856" w14:textId="77777777" w:rsidR="0001621A" w:rsidRPr="0001621A" w:rsidRDefault="0001621A" w:rsidP="0001621A">
            <w:pPr>
              <w:jc w:val="center"/>
              <w:rPr>
                <w:sz w:val="20"/>
                <w:szCs w:val="20"/>
              </w:rPr>
            </w:pPr>
            <w:r>
              <w:rPr>
                <w:sz w:val="20"/>
                <w:szCs w:val="20"/>
              </w:rPr>
              <w:t>N/A</w:t>
            </w:r>
          </w:p>
        </w:tc>
        <w:tc>
          <w:tcPr>
            <w:tcW w:w="1558" w:type="dxa"/>
          </w:tcPr>
          <w:p w14:paraId="747D39A6" w14:textId="77777777" w:rsidR="0001621A" w:rsidRPr="0001621A" w:rsidRDefault="0001621A" w:rsidP="0001621A">
            <w:pPr>
              <w:jc w:val="center"/>
              <w:rPr>
                <w:sz w:val="20"/>
                <w:szCs w:val="20"/>
              </w:rPr>
            </w:pPr>
            <w:r>
              <w:rPr>
                <w:sz w:val="20"/>
                <w:szCs w:val="20"/>
              </w:rPr>
              <w:t>10</w:t>
            </w:r>
          </w:p>
        </w:tc>
        <w:tc>
          <w:tcPr>
            <w:tcW w:w="1558" w:type="dxa"/>
          </w:tcPr>
          <w:p w14:paraId="0319906A" w14:textId="77777777" w:rsidR="0001621A" w:rsidRPr="0001621A" w:rsidRDefault="0001621A" w:rsidP="0001621A">
            <w:pPr>
              <w:jc w:val="center"/>
              <w:rPr>
                <w:sz w:val="20"/>
                <w:szCs w:val="20"/>
              </w:rPr>
            </w:pPr>
            <w:r>
              <w:rPr>
                <w:sz w:val="20"/>
                <w:szCs w:val="20"/>
              </w:rPr>
              <w:t>N/A</w:t>
            </w:r>
          </w:p>
        </w:tc>
        <w:tc>
          <w:tcPr>
            <w:tcW w:w="1559" w:type="dxa"/>
          </w:tcPr>
          <w:p w14:paraId="06C5F6C5" w14:textId="77777777" w:rsidR="0001621A" w:rsidRPr="0001621A" w:rsidRDefault="0001621A" w:rsidP="0001621A">
            <w:pPr>
              <w:jc w:val="center"/>
              <w:rPr>
                <w:sz w:val="20"/>
                <w:szCs w:val="20"/>
              </w:rPr>
            </w:pPr>
            <w:r>
              <w:rPr>
                <w:sz w:val="20"/>
                <w:szCs w:val="20"/>
              </w:rPr>
              <w:t>8</w:t>
            </w:r>
          </w:p>
        </w:tc>
        <w:tc>
          <w:tcPr>
            <w:tcW w:w="1559" w:type="dxa"/>
          </w:tcPr>
          <w:p w14:paraId="7398A940" w14:textId="77777777" w:rsidR="0001621A" w:rsidRPr="0001621A" w:rsidRDefault="0001621A" w:rsidP="0001621A">
            <w:pPr>
              <w:jc w:val="center"/>
              <w:rPr>
                <w:sz w:val="20"/>
                <w:szCs w:val="20"/>
              </w:rPr>
            </w:pPr>
            <w:r>
              <w:rPr>
                <w:sz w:val="20"/>
                <w:szCs w:val="20"/>
              </w:rPr>
              <w:t>8</w:t>
            </w:r>
          </w:p>
        </w:tc>
      </w:tr>
      <w:tr w:rsidR="0001621A" w:rsidRPr="0001621A" w14:paraId="476D2106" w14:textId="77777777" w:rsidTr="0001621A">
        <w:tc>
          <w:tcPr>
            <w:tcW w:w="1558" w:type="dxa"/>
          </w:tcPr>
          <w:p w14:paraId="58A3E360" w14:textId="77777777" w:rsidR="0001621A" w:rsidRPr="0001621A" w:rsidRDefault="0001621A" w:rsidP="0001621A">
            <w:pPr>
              <w:rPr>
                <w:sz w:val="20"/>
                <w:szCs w:val="20"/>
              </w:rPr>
            </w:pPr>
            <w:r w:rsidRPr="0001621A">
              <w:rPr>
                <w:sz w:val="20"/>
                <w:szCs w:val="20"/>
              </w:rPr>
              <w:t>Patients Per FTE – Surge</w:t>
            </w:r>
          </w:p>
        </w:tc>
        <w:tc>
          <w:tcPr>
            <w:tcW w:w="1558" w:type="dxa"/>
          </w:tcPr>
          <w:p w14:paraId="2256C314" w14:textId="77777777" w:rsidR="0001621A" w:rsidRPr="0001621A" w:rsidRDefault="0001621A" w:rsidP="0001621A">
            <w:pPr>
              <w:jc w:val="center"/>
              <w:rPr>
                <w:sz w:val="20"/>
                <w:szCs w:val="20"/>
              </w:rPr>
            </w:pPr>
            <w:r>
              <w:rPr>
                <w:sz w:val="20"/>
                <w:szCs w:val="20"/>
              </w:rPr>
              <w:t>N/A</w:t>
            </w:r>
          </w:p>
        </w:tc>
        <w:tc>
          <w:tcPr>
            <w:tcW w:w="1558" w:type="dxa"/>
          </w:tcPr>
          <w:p w14:paraId="75868AA3" w14:textId="77777777" w:rsidR="0001621A" w:rsidRPr="0001621A" w:rsidRDefault="0001621A" w:rsidP="0001621A">
            <w:pPr>
              <w:jc w:val="center"/>
              <w:rPr>
                <w:sz w:val="20"/>
                <w:szCs w:val="20"/>
              </w:rPr>
            </w:pPr>
            <w:r>
              <w:rPr>
                <w:sz w:val="20"/>
                <w:szCs w:val="20"/>
              </w:rPr>
              <w:t>18</w:t>
            </w:r>
          </w:p>
        </w:tc>
        <w:tc>
          <w:tcPr>
            <w:tcW w:w="1558" w:type="dxa"/>
          </w:tcPr>
          <w:p w14:paraId="45818E25" w14:textId="77777777" w:rsidR="0001621A" w:rsidRPr="0001621A" w:rsidRDefault="0001621A" w:rsidP="0001621A">
            <w:pPr>
              <w:jc w:val="center"/>
              <w:rPr>
                <w:sz w:val="20"/>
                <w:szCs w:val="20"/>
              </w:rPr>
            </w:pPr>
            <w:r>
              <w:rPr>
                <w:sz w:val="20"/>
                <w:szCs w:val="20"/>
              </w:rPr>
              <w:t>N/A</w:t>
            </w:r>
          </w:p>
        </w:tc>
        <w:tc>
          <w:tcPr>
            <w:tcW w:w="1559" w:type="dxa"/>
          </w:tcPr>
          <w:p w14:paraId="1636EFE5" w14:textId="77777777" w:rsidR="0001621A" w:rsidRPr="0001621A" w:rsidRDefault="0001621A" w:rsidP="0001621A">
            <w:pPr>
              <w:jc w:val="center"/>
              <w:rPr>
                <w:sz w:val="20"/>
                <w:szCs w:val="20"/>
              </w:rPr>
            </w:pPr>
            <w:r>
              <w:rPr>
                <w:sz w:val="20"/>
                <w:szCs w:val="20"/>
              </w:rPr>
              <w:t>30</w:t>
            </w:r>
          </w:p>
        </w:tc>
        <w:tc>
          <w:tcPr>
            <w:tcW w:w="1559" w:type="dxa"/>
          </w:tcPr>
          <w:p w14:paraId="549DDE7C" w14:textId="77777777" w:rsidR="0001621A" w:rsidRPr="0001621A" w:rsidRDefault="0001621A" w:rsidP="0001621A">
            <w:pPr>
              <w:jc w:val="center"/>
              <w:rPr>
                <w:sz w:val="20"/>
                <w:szCs w:val="20"/>
              </w:rPr>
            </w:pPr>
            <w:r>
              <w:rPr>
                <w:sz w:val="20"/>
                <w:szCs w:val="20"/>
              </w:rPr>
              <w:t>12</w:t>
            </w:r>
          </w:p>
        </w:tc>
      </w:tr>
    </w:tbl>
    <w:p w14:paraId="4098C530" w14:textId="77777777" w:rsidR="0001621A" w:rsidRDefault="0001621A"/>
    <w:p w14:paraId="3FD18C64" w14:textId="77777777" w:rsidR="008B5840" w:rsidRDefault="008B5840">
      <w:r>
        <w:rPr>
          <w:b/>
        </w:rPr>
        <w:t>Appendix Figure 3. Health Workforce Deficit Estimator – Intensivists Calculator</w:t>
      </w:r>
    </w:p>
    <w:p w14:paraId="6503BCE1" w14:textId="77777777" w:rsidR="008B5840" w:rsidRPr="008B5840" w:rsidRDefault="008B5840">
      <w:r>
        <w:rPr>
          <w:noProof/>
        </w:rPr>
        <w:drawing>
          <wp:inline distT="0" distB="0" distL="0" distR="0" wp14:anchorId="5B71FACC" wp14:editId="3EAF5600">
            <wp:extent cx="5943600" cy="5249545"/>
            <wp:effectExtent l="19050" t="19050" r="1905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249545"/>
                    </a:xfrm>
                    <a:prstGeom prst="rect">
                      <a:avLst/>
                    </a:prstGeom>
                    <a:ln>
                      <a:solidFill>
                        <a:schemeClr val="tx1"/>
                      </a:solidFill>
                    </a:ln>
                  </pic:spPr>
                </pic:pic>
              </a:graphicData>
            </a:graphic>
          </wp:inline>
        </w:drawing>
      </w:r>
    </w:p>
    <w:sectPr w:rsidR="008B5840" w:rsidRPr="008B584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D1759" w14:textId="77777777" w:rsidR="00D62D1A" w:rsidRDefault="00D62D1A" w:rsidP="00AD2382">
      <w:pPr>
        <w:spacing w:after="0" w:line="240" w:lineRule="auto"/>
      </w:pPr>
      <w:r>
        <w:separator/>
      </w:r>
    </w:p>
  </w:endnote>
  <w:endnote w:type="continuationSeparator" w:id="0">
    <w:p w14:paraId="3DECE091" w14:textId="77777777" w:rsidR="00D62D1A" w:rsidRDefault="00D62D1A" w:rsidP="00AD2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1B0A1" w14:textId="77777777" w:rsidR="00D62D1A" w:rsidRDefault="00D62D1A" w:rsidP="00AD2382">
      <w:pPr>
        <w:spacing w:after="0" w:line="240" w:lineRule="auto"/>
      </w:pPr>
      <w:r>
        <w:separator/>
      </w:r>
    </w:p>
  </w:footnote>
  <w:footnote w:type="continuationSeparator" w:id="0">
    <w:p w14:paraId="059FFD80" w14:textId="77777777" w:rsidR="00D62D1A" w:rsidRDefault="00D62D1A" w:rsidP="00AD2382">
      <w:pPr>
        <w:spacing w:after="0" w:line="240" w:lineRule="auto"/>
      </w:pPr>
      <w:r>
        <w:continuationSeparator/>
      </w:r>
    </w:p>
  </w:footnote>
  <w:footnote w:id="1">
    <w:p w14:paraId="06853399" w14:textId="77777777" w:rsidR="00E62225" w:rsidRDefault="00E62225">
      <w:pPr>
        <w:pStyle w:val="FootnoteText"/>
      </w:pPr>
      <w:r>
        <w:rPr>
          <w:rStyle w:val="FootnoteReference"/>
        </w:rPr>
        <w:footnoteRef/>
      </w:r>
      <w:r>
        <w:t xml:space="preserve"> </w:t>
      </w:r>
      <w:proofErr w:type="spellStart"/>
      <w:r>
        <w:t>Kuo</w:t>
      </w:r>
      <w:proofErr w:type="spellEnd"/>
      <w:r>
        <w:t xml:space="preserve"> Y, Goodwin JS. </w:t>
      </w:r>
      <w:r w:rsidRPr="00E62225">
        <w:t>Association of Hospitalist Care With Medical Utilization After Discharge: Evidence of Cost Shift From a Cohort Study</w:t>
      </w:r>
      <w:r>
        <w:t>. Ann Internal Med. 2011;155:152-9.</w:t>
      </w:r>
    </w:p>
  </w:footnote>
  <w:footnote w:id="2">
    <w:p w14:paraId="3F192596" w14:textId="117D49C7" w:rsidR="007D29BC" w:rsidRPr="00DC1381" w:rsidRDefault="007D29BC" w:rsidP="00DC1381">
      <w:pPr>
        <w:spacing w:after="0" w:line="240" w:lineRule="auto"/>
        <w:rPr>
          <w:rFonts w:ascii="Times New Roman" w:hAnsi="Times New Roman" w:cs="Times New Roman"/>
          <w:color w:val="0563C1" w:themeColor="hyperlink"/>
          <w:sz w:val="24"/>
          <w:szCs w:val="24"/>
          <w:u w:val="single"/>
        </w:rPr>
      </w:pPr>
      <w:r>
        <w:rPr>
          <w:rStyle w:val="FootnoteReference"/>
        </w:rPr>
        <w:footnoteRef/>
      </w:r>
      <w:r>
        <w:t xml:space="preserve"> </w:t>
      </w:r>
      <w:r w:rsidR="00A47187" w:rsidRPr="00DC1381">
        <w:rPr>
          <w:rFonts w:cs="Times New Roman"/>
          <w:sz w:val="20"/>
          <w:szCs w:val="20"/>
        </w:rPr>
        <w:t xml:space="preserve">Institute for Health Metrics and Evaluation. COVID-19 Projections. Institute for Health Metrics and Evaluation [IHME web site]. </w:t>
      </w:r>
      <w:r w:rsidR="00DC1381" w:rsidRPr="00DC1381">
        <w:rPr>
          <w:rFonts w:cs="Times New Roman"/>
          <w:sz w:val="20"/>
          <w:szCs w:val="20"/>
        </w:rPr>
        <w:t>March 25, 2021</w:t>
      </w:r>
      <w:r w:rsidR="00A47187" w:rsidRPr="00DC1381">
        <w:rPr>
          <w:rFonts w:cs="Times New Roman"/>
          <w:sz w:val="20"/>
          <w:szCs w:val="20"/>
        </w:rPr>
        <w:t xml:space="preserve">. Available at: </w:t>
      </w:r>
      <w:hyperlink r:id="rId1" w:history="1">
        <w:r w:rsidR="00DC1381" w:rsidRPr="00DC1381">
          <w:rPr>
            <w:rStyle w:val="Hyperlink"/>
            <w:sz w:val="20"/>
            <w:szCs w:val="20"/>
          </w:rPr>
          <w:t>https://covid19.healthdata.org/united-states-of-america?view=total-deaths&amp;</w:t>
        </w:r>
        <w:r w:rsidR="00DC1381" w:rsidRPr="00DC1381">
          <w:rPr>
            <w:rStyle w:val="Hyperlink"/>
            <w:sz w:val="20"/>
            <w:szCs w:val="20"/>
          </w:rPr>
          <w:t>t</w:t>
        </w:r>
        <w:r w:rsidR="00DC1381" w:rsidRPr="00DC1381">
          <w:rPr>
            <w:rStyle w:val="Hyperlink"/>
            <w:sz w:val="20"/>
            <w:szCs w:val="20"/>
          </w:rPr>
          <w:t>ab=trend</w:t>
        </w:r>
      </w:hyperlink>
      <w:r w:rsidR="00DC1381" w:rsidRPr="00DC1381">
        <w:rPr>
          <w:sz w:val="20"/>
          <w:szCs w:val="20"/>
        </w:rPr>
        <w:t>.</w:t>
      </w:r>
      <w:r w:rsidR="00DC1381">
        <w:rPr>
          <w:rStyle w:val="Hyperlink"/>
          <w:rFonts w:cs="Times New Roman"/>
          <w:sz w:val="20"/>
          <w:szCs w:val="20"/>
          <w:u w:val="none"/>
        </w:rPr>
        <w:t xml:space="preserve"> </w:t>
      </w:r>
      <w:r w:rsidR="00A47187" w:rsidRPr="00DC1381">
        <w:rPr>
          <w:rFonts w:cs="Times New Roman"/>
          <w:sz w:val="20"/>
          <w:szCs w:val="20"/>
        </w:rPr>
        <w:t xml:space="preserve">Accessed </w:t>
      </w:r>
      <w:r w:rsidR="00DC1381" w:rsidRPr="00DC1381">
        <w:rPr>
          <w:rFonts w:cs="Times New Roman"/>
          <w:sz w:val="20"/>
          <w:szCs w:val="20"/>
        </w:rPr>
        <w:t>March 25, 2021</w:t>
      </w:r>
      <w:r w:rsidR="00A47187" w:rsidRPr="00DC1381">
        <w:rPr>
          <w:rFonts w:cs="Times New Roman"/>
          <w:sz w:val="20"/>
          <w:szCs w:val="20"/>
        </w:rPr>
        <w:t>.</w:t>
      </w:r>
      <w:r w:rsidR="00A47187" w:rsidRPr="00DC1381">
        <w:rPr>
          <w:rFonts w:ascii="Times New Roman" w:hAnsi="Times New Roman" w:cs="Times New Roman"/>
          <w:sz w:val="24"/>
          <w:szCs w:val="24"/>
        </w:rPr>
        <w:t xml:space="preserve"> </w:t>
      </w:r>
    </w:p>
  </w:footnote>
  <w:footnote w:id="3">
    <w:p w14:paraId="42C3BD64" w14:textId="34C63DD5" w:rsidR="0039008B" w:rsidRDefault="0039008B">
      <w:pPr>
        <w:pStyle w:val="FootnoteText"/>
      </w:pPr>
      <w:r>
        <w:rPr>
          <w:rStyle w:val="FootnoteReference"/>
        </w:rPr>
        <w:footnoteRef/>
      </w:r>
      <w:r>
        <w:t xml:space="preserve"> </w:t>
      </w:r>
      <w:r w:rsidRPr="0039008B">
        <w:t xml:space="preserve">University of California San Francisco </w:t>
      </w:r>
      <w:proofErr w:type="spellStart"/>
      <w:r w:rsidRPr="0039008B">
        <w:t>Healthforce</w:t>
      </w:r>
      <w:proofErr w:type="spellEnd"/>
      <w:r w:rsidRPr="0039008B">
        <w:t xml:space="preserve"> Center. Staffing Plans for Surge Hospitals [University of California, San Francisco web site]. 2020. Available at: </w:t>
      </w:r>
      <w:hyperlink r:id="rId2" w:history="1">
        <w:r w:rsidRPr="0082539A">
          <w:rPr>
            <w:rStyle w:val="Hyperlink"/>
          </w:rPr>
          <w:t>https://healthforce.ucsf.edu/file/staffing-plans-surge-hospitals-public-apr-7-updatexlsx</w:t>
        </w:r>
      </w:hyperlink>
      <w:r w:rsidRPr="0039008B">
        <w:t>.</w:t>
      </w:r>
      <w:r>
        <w:t xml:space="preserve"> </w:t>
      </w:r>
      <w:r w:rsidRPr="0039008B">
        <w:t>Accessed August 9,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440F0" w14:textId="77777777" w:rsidR="00AD2382" w:rsidRPr="00AD2382" w:rsidRDefault="00AD2382" w:rsidP="00AD2382">
    <w:pPr>
      <w:spacing w:line="480" w:lineRule="auto"/>
      <w:rPr>
        <w:rFonts w:ascii="Times New Roman" w:hAnsi="Times New Roman" w:cs="Times New Roman"/>
        <w:sz w:val="24"/>
        <w:szCs w:val="24"/>
      </w:rPr>
    </w:pPr>
    <w:r w:rsidRPr="00403D64">
      <w:rPr>
        <w:rFonts w:ascii="Times New Roman" w:hAnsi="Times New Roman" w:cs="Times New Roman"/>
        <w:sz w:val="24"/>
        <w:szCs w:val="24"/>
      </w:rPr>
      <w:t>COVID-19 Planning and Response: A Tale of Two Health Workforce Estimator Tools</w:t>
    </w:r>
  </w:p>
  <w:p w14:paraId="0EFBF77B" w14:textId="77777777" w:rsidR="00AD2382" w:rsidRDefault="00AD2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EE1B4A"/>
    <w:multiLevelType w:val="hybridMultilevel"/>
    <w:tmpl w:val="FB9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382"/>
    <w:rsid w:val="0001621A"/>
    <w:rsid w:val="0039008B"/>
    <w:rsid w:val="005739DC"/>
    <w:rsid w:val="00674145"/>
    <w:rsid w:val="006D43A0"/>
    <w:rsid w:val="007D29BC"/>
    <w:rsid w:val="00827276"/>
    <w:rsid w:val="008B5840"/>
    <w:rsid w:val="008F0EBA"/>
    <w:rsid w:val="00906047"/>
    <w:rsid w:val="009D1ED4"/>
    <w:rsid w:val="00A47187"/>
    <w:rsid w:val="00A60065"/>
    <w:rsid w:val="00AD2382"/>
    <w:rsid w:val="00AF4A8F"/>
    <w:rsid w:val="00B6451E"/>
    <w:rsid w:val="00C7624C"/>
    <w:rsid w:val="00CA14D3"/>
    <w:rsid w:val="00CE6D1F"/>
    <w:rsid w:val="00D13FF1"/>
    <w:rsid w:val="00D62D1A"/>
    <w:rsid w:val="00D7434E"/>
    <w:rsid w:val="00D92CD3"/>
    <w:rsid w:val="00DC1381"/>
    <w:rsid w:val="00DD54F6"/>
    <w:rsid w:val="00E21658"/>
    <w:rsid w:val="00E62225"/>
    <w:rsid w:val="00EE3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48C4"/>
  <w15:chartTrackingRefBased/>
  <w15:docId w15:val="{F7C9B627-EC67-412C-932A-2786BF08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382"/>
  </w:style>
  <w:style w:type="paragraph" w:styleId="Footer">
    <w:name w:val="footer"/>
    <w:basedOn w:val="Normal"/>
    <w:link w:val="FooterChar"/>
    <w:uiPriority w:val="99"/>
    <w:unhideWhenUsed/>
    <w:rsid w:val="00AD2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382"/>
  </w:style>
  <w:style w:type="paragraph" w:styleId="EndnoteText">
    <w:name w:val="endnote text"/>
    <w:basedOn w:val="Normal"/>
    <w:link w:val="EndnoteTextChar"/>
    <w:uiPriority w:val="99"/>
    <w:semiHidden/>
    <w:unhideWhenUsed/>
    <w:rsid w:val="00E622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2225"/>
    <w:rPr>
      <w:sz w:val="20"/>
      <w:szCs w:val="20"/>
    </w:rPr>
  </w:style>
  <w:style w:type="character" w:styleId="EndnoteReference">
    <w:name w:val="endnote reference"/>
    <w:basedOn w:val="DefaultParagraphFont"/>
    <w:uiPriority w:val="99"/>
    <w:semiHidden/>
    <w:unhideWhenUsed/>
    <w:rsid w:val="00E62225"/>
    <w:rPr>
      <w:vertAlign w:val="superscript"/>
    </w:rPr>
  </w:style>
  <w:style w:type="paragraph" w:styleId="FootnoteText">
    <w:name w:val="footnote text"/>
    <w:basedOn w:val="Normal"/>
    <w:link w:val="FootnoteTextChar"/>
    <w:uiPriority w:val="99"/>
    <w:semiHidden/>
    <w:unhideWhenUsed/>
    <w:rsid w:val="00E622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2225"/>
    <w:rPr>
      <w:sz w:val="20"/>
      <w:szCs w:val="20"/>
    </w:rPr>
  </w:style>
  <w:style w:type="character" w:styleId="FootnoteReference">
    <w:name w:val="footnote reference"/>
    <w:basedOn w:val="DefaultParagraphFont"/>
    <w:uiPriority w:val="99"/>
    <w:semiHidden/>
    <w:unhideWhenUsed/>
    <w:rsid w:val="00E62225"/>
    <w:rPr>
      <w:vertAlign w:val="superscript"/>
    </w:rPr>
  </w:style>
  <w:style w:type="character" w:styleId="PlaceholderText">
    <w:name w:val="Placeholder Text"/>
    <w:basedOn w:val="DefaultParagraphFont"/>
    <w:uiPriority w:val="99"/>
    <w:semiHidden/>
    <w:rsid w:val="00674145"/>
    <w:rPr>
      <w:color w:val="808080"/>
    </w:rPr>
  </w:style>
  <w:style w:type="character" w:styleId="Hyperlink">
    <w:name w:val="Hyperlink"/>
    <w:basedOn w:val="DefaultParagraphFont"/>
    <w:uiPriority w:val="99"/>
    <w:unhideWhenUsed/>
    <w:rsid w:val="007D29BC"/>
    <w:rPr>
      <w:color w:val="0563C1" w:themeColor="hyperlink"/>
      <w:u w:val="single"/>
    </w:rPr>
  </w:style>
  <w:style w:type="table" w:styleId="TableGrid">
    <w:name w:val="Table Grid"/>
    <w:basedOn w:val="TableNormal"/>
    <w:uiPriority w:val="39"/>
    <w:rsid w:val="00016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7187"/>
    <w:pPr>
      <w:ind w:left="720"/>
      <w:contextualSpacing/>
    </w:pPr>
    <w:rPr>
      <w:rFonts w:eastAsia="SimSun"/>
    </w:rPr>
  </w:style>
  <w:style w:type="character" w:styleId="FollowedHyperlink">
    <w:name w:val="FollowedHyperlink"/>
    <w:basedOn w:val="DefaultParagraphFont"/>
    <w:uiPriority w:val="99"/>
    <w:semiHidden/>
    <w:unhideWhenUsed/>
    <w:rsid w:val="00DC13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healthforce.ucsf.edu/file/staffing-plans-surge-hospitals-public-apr-7-updatexlsx" TargetMode="External"/><Relationship Id="rId1" Type="http://schemas.openxmlformats.org/officeDocument/2006/relationships/hyperlink" Target="https://covid19.healthdata.org/united-states-of-america?view=total-deaths&amp;tab=tre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881</Words>
  <Characters>4833</Characters>
  <Application>Microsoft Office Word</Application>
  <DocSecurity>0</DocSecurity>
  <Lines>79</Lines>
  <Paragraphs>17</Paragraphs>
  <ScaleCrop>false</ScaleCrop>
  <HeadingPairs>
    <vt:vector size="2" baseType="variant">
      <vt:variant>
        <vt:lpstr>Title</vt:lpstr>
      </vt:variant>
      <vt:variant>
        <vt:i4>1</vt:i4>
      </vt:variant>
    </vt:vector>
  </HeadingPairs>
  <TitlesOfParts>
    <vt:vector size="1" baseType="lpstr">
      <vt:lpstr/>
    </vt:vector>
  </TitlesOfParts>
  <Company>George Washington University</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Candice P.</dc:creator>
  <cp:keywords/>
  <dc:description/>
  <cp:lastModifiedBy>Sara Westergaard</cp:lastModifiedBy>
  <cp:revision>3</cp:revision>
  <dcterms:created xsi:type="dcterms:W3CDTF">2021-03-26T15:46:00Z</dcterms:created>
  <dcterms:modified xsi:type="dcterms:W3CDTF">2021-03-26T16:02:00Z</dcterms:modified>
</cp:coreProperties>
</file>