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169" w:rsidRPr="00925592" w:rsidRDefault="00DD5169" w:rsidP="00DD5169">
      <w:pPr>
        <w:pStyle w:val="NoSpacing"/>
        <w:spacing w:line="48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5</w:t>
      </w:r>
      <w:r w:rsidRPr="00925592">
        <w:rPr>
          <w:rFonts w:ascii="Times New Roman" w:hAnsi="Times New Roman" w:cs="Times New Roman"/>
          <w:sz w:val="24"/>
          <w:szCs w:val="24"/>
        </w:rPr>
        <w:t>: Pharmacological Treatment for NOWS</w:t>
      </w:r>
    </w:p>
    <w:tbl>
      <w:tblPr>
        <w:tblStyle w:val="TableGrid"/>
        <w:tblW w:w="11875" w:type="dxa"/>
        <w:tblLook w:val="04A0" w:firstRow="1" w:lastRow="0" w:firstColumn="1" w:lastColumn="0" w:noHBand="0" w:noVBand="1"/>
      </w:tblPr>
      <w:tblGrid>
        <w:gridCol w:w="1657"/>
        <w:gridCol w:w="1923"/>
        <w:gridCol w:w="1982"/>
        <w:gridCol w:w="2713"/>
        <w:gridCol w:w="3600"/>
      </w:tblGrid>
      <w:tr w:rsidR="00DD5169" w:rsidTr="00DD5169">
        <w:tc>
          <w:tcPr>
            <w:tcW w:w="1657" w:type="dxa"/>
            <w:shd w:val="clear" w:color="auto" w:fill="FBE4D5" w:themeFill="accent2" w:themeFillTint="33"/>
          </w:tcPr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Drug</w:t>
            </w:r>
          </w:p>
        </w:tc>
        <w:tc>
          <w:tcPr>
            <w:tcW w:w="1923" w:type="dxa"/>
            <w:shd w:val="clear" w:color="auto" w:fill="FBE4D5" w:themeFill="accent2" w:themeFillTint="33"/>
          </w:tcPr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Pharmacokinetics</w:t>
            </w:r>
          </w:p>
        </w:tc>
        <w:tc>
          <w:tcPr>
            <w:tcW w:w="1982" w:type="dxa"/>
            <w:shd w:val="clear" w:color="auto" w:fill="FBE4D5" w:themeFill="accent2" w:themeFillTint="33"/>
          </w:tcPr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Dose/Half-life</w:t>
            </w:r>
          </w:p>
        </w:tc>
        <w:tc>
          <w:tcPr>
            <w:tcW w:w="2713" w:type="dxa"/>
            <w:shd w:val="clear" w:color="auto" w:fill="FBE4D5" w:themeFill="accent2" w:themeFillTint="33"/>
          </w:tcPr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Treatment Considerations</w:t>
            </w:r>
          </w:p>
        </w:tc>
        <w:tc>
          <w:tcPr>
            <w:tcW w:w="3600" w:type="dxa"/>
            <w:shd w:val="clear" w:color="auto" w:fill="FBE4D5" w:themeFill="accent2" w:themeFillTint="33"/>
          </w:tcPr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Weaning</w:t>
            </w:r>
          </w:p>
        </w:tc>
      </w:tr>
      <w:tr w:rsidR="00DD5169" w:rsidTr="00DD5169">
        <w:tc>
          <w:tcPr>
            <w:tcW w:w="1657" w:type="dxa"/>
          </w:tcPr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923" w:type="dxa"/>
          </w:tcPr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Full mu receptor agonist</w:t>
            </w:r>
          </w:p>
        </w:tc>
        <w:tc>
          <w:tcPr>
            <w:tcW w:w="1982" w:type="dxa"/>
          </w:tcPr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Oral: 0.05-0.2 mg/kg/dose every 3-4 hours</w:t>
            </w:r>
          </w:p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Short half-life</w:t>
            </w:r>
          </w:p>
        </w:tc>
        <w:tc>
          <w:tcPr>
            <w:tcW w:w="2713" w:type="dxa"/>
          </w:tcPr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 xml:space="preserve"> no improvement with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initial dose of medication,</w:t>
            </w: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 xml:space="preserve"> it can be increased to obtain the desired effect.</w:t>
            </w:r>
          </w:p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Disadvantages: increased risk of sedation, respiratory depression, and evidence of prolonged hospital stay.</w:t>
            </w:r>
          </w:p>
        </w:tc>
        <w:tc>
          <w:tcPr>
            <w:tcW w:w="3600" w:type="dxa"/>
          </w:tcPr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Weaned every 24–48 hours. Duration of treatment average is 38 days.</w:t>
            </w:r>
          </w:p>
        </w:tc>
      </w:tr>
      <w:tr w:rsidR="00DD5169" w:rsidTr="00DD5169">
        <w:tc>
          <w:tcPr>
            <w:tcW w:w="1657" w:type="dxa"/>
          </w:tcPr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Methadone</w:t>
            </w:r>
          </w:p>
        </w:tc>
        <w:tc>
          <w:tcPr>
            <w:tcW w:w="1923" w:type="dxa"/>
          </w:tcPr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Full mu receptor agonist</w:t>
            </w:r>
          </w:p>
        </w:tc>
        <w:tc>
          <w:tcPr>
            <w:tcW w:w="1982" w:type="dxa"/>
          </w:tcPr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Oral: 0.05‒0.1 mg/kg/dose every 4-12 hours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Longer half-life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3" w:type="dxa"/>
          </w:tcPr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Less variability between peak and trough levels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 xml:space="preserve"> allows for longer dosing intervals. Remains controversial due to long half-life and prolonged excretion rate that may prolong hospitalization. Contains ethanol.  </w:t>
            </w:r>
          </w:p>
        </w:tc>
        <w:tc>
          <w:tcPr>
            <w:tcW w:w="3600" w:type="dxa"/>
          </w:tcPr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Weaned over time as tolerated.</w:t>
            </w:r>
          </w:p>
        </w:tc>
      </w:tr>
      <w:tr w:rsidR="00DD5169" w:rsidTr="00DD5169">
        <w:tc>
          <w:tcPr>
            <w:tcW w:w="1657" w:type="dxa"/>
          </w:tcPr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923" w:type="dxa"/>
          </w:tcPr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Partial mu receptor agonist</w:t>
            </w:r>
          </w:p>
        </w:tc>
        <w:tc>
          <w:tcPr>
            <w:tcW w:w="1982" w:type="dxa"/>
          </w:tcPr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 xml:space="preserve">Sublingually: 4.5 mcg/kg every 8 </w:t>
            </w:r>
            <w:proofErr w:type="spellStart"/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DF7360">
              <w:rPr>
                <w:rFonts w:ascii="Times New Roman" w:hAnsi="Times New Roman" w:cs="Times New Roman"/>
                <w:sz w:val="24"/>
                <w:szCs w:val="24"/>
              </w:rPr>
              <w:t xml:space="preserve"> (0.075 mg per milliliter of solution in simple syrup and 30% ethanol)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Long half-life and duration of action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3" w:type="dxa"/>
          </w:tcPr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 xml:space="preserve">A lower incidence of respiratory depression and abnormal heart rhythm. </w:t>
            </w:r>
          </w:p>
        </w:tc>
        <w:tc>
          <w:tcPr>
            <w:tcW w:w="3600" w:type="dxa"/>
          </w:tcPr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Wean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tolerated. A</w:t>
            </w: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 xml:space="preserve">verage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uration of treatment is 23 days.</w:t>
            </w:r>
          </w:p>
        </w:tc>
      </w:tr>
      <w:tr w:rsidR="00DD5169" w:rsidTr="00DD5169">
        <w:tc>
          <w:tcPr>
            <w:tcW w:w="1657" w:type="dxa"/>
          </w:tcPr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Phenobarbital</w:t>
            </w:r>
          </w:p>
        </w:tc>
        <w:tc>
          <w:tcPr>
            <w:tcW w:w="1923" w:type="dxa"/>
          </w:tcPr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a γ-aminobutyric acid agonist</w:t>
            </w:r>
          </w:p>
        </w:tc>
        <w:tc>
          <w:tcPr>
            <w:tcW w:w="1982" w:type="dxa"/>
          </w:tcPr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 xml:space="preserve">Load dose of 5 mg/kg IV, IM, or PO with a maintenance dose of 3–5 mg/kg every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hours. Another approach: load</w:t>
            </w: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 xml:space="preserve"> dose of 20 mg/kg with a maintenance dose of 2–6 mg/kg day to achieve plasma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concentrations between 20-</w:t>
            </w: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End"/>
          </w:p>
        </w:tc>
        <w:tc>
          <w:tcPr>
            <w:tcW w:w="2713" w:type="dxa"/>
          </w:tcPr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 xml:space="preserve">Long use history with sedative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 anticonvulsant properties. N</w:t>
            </w: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ot effective for GI symptoms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 xml:space="preserve"> causes CNS depression and impair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 </w:t>
            </w: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sucking reflex.</w:t>
            </w:r>
          </w:p>
        </w:tc>
        <w:tc>
          <w:tcPr>
            <w:tcW w:w="3600" w:type="dxa"/>
          </w:tcPr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Weaned by 15% of the daily dose.</w:t>
            </w:r>
          </w:p>
        </w:tc>
      </w:tr>
      <w:tr w:rsidR="00DD5169" w:rsidTr="00DD5169">
        <w:tc>
          <w:tcPr>
            <w:tcW w:w="1657" w:type="dxa"/>
          </w:tcPr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Clonidine</w:t>
            </w:r>
          </w:p>
        </w:tc>
        <w:tc>
          <w:tcPr>
            <w:tcW w:w="1923" w:type="dxa"/>
          </w:tcPr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Non-opioid alpha2 receptor agonist</w:t>
            </w:r>
          </w:p>
        </w:tc>
        <w:tc>
          <w:tcPr>
            <w:tcW w:w="1982" w:type="dxa"/>
          </w:tcPr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 xml:space="preserve">Initial dose: 0.5‒1 </w:t>
            </w:r>
            <w:proofErr w:type="spellStart"/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DF7360">
              <w:rPr>
                <w:rFonts w:ascii="Times New Roman" w:hAnsi="Times New Roman" w:cs="Times New Roman"/>
                <w:sz w:val="24"/>
                <w:szCs w:val="24"/>
              </w:rPr>
              <w:t xml:space="preserve">/kg, followed by 0.5‒1.25 </w:t>
            </w:r>
            <w:proofErr w:type="spellStart"/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/kg per dose every 3 hours with proposed increments of 25% of initial dose.</w:t>
            </w:r>
          </w:p>
        </w:tc>
        <w:tc>
          <w:tcPr>
            <w:tcW w:w="2713" w:type="dxa"/>
          </w:tcPr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Eases the signs experienced but does not include the narcotic effects of opioids.</w:t>
            </w:r>
          </w:p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Can be used as adjuvant medication whe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opioids were initially used. D</w:t>
            </w: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limited.</w:t>
            </w: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 xml:space="preserve"> Reported to stabilize infants in combination with a diluted tincture of opium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more quickly</w:t>
            </w: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 xml:space="preserve"> than a diluted tincture of opium alone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</w:tcPr>
          <w:p w:rsidR="00DD5169" w:rsidRPr="00DF7360" w:rsidRDefault="00DD5169" w:rsidP="00596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7360">
              <w:rPr>
                <w:rFonts w:ascii="Times New Roman" w:hAnsi="Times New Roman" w:cs="Times New Roman"/>
                <w:sz w:val="24"/>
                <w:szCs w:val="24"/>
              </w:rPr>
              <w:t>Weaning by 10% of the maximum dose every 48 hours.</w:t>
            </w:r>
          </w:p>
        </w:tc>
      </w:tr>
    </w:tbl>
    <w:p w:rsidR="00DD5169" w:rsidRDefault="00DD5169" w:rsidP="00DD5169">
      <w:pPr>
        <w:pStyle w:val="NoSpacing"/>
        <w:rPr>
          <w:b/>
        </w:rPr>
      </w:pPr>
      <w:r w:rsidRPr="00DF7360">
        <w:rPr>
          <w:rFonts w:ascii="Times New Roman" w:hAnsi="Times New Roman" w:cs="Times New Roman"/>
          <w:sz w:val="24"/>
          <w:szCs w:val="24"/>
        </w:rPr>
        <w:t xml:space="preserve">Adapted from </w:t>
      </w:r>
      <w:r w:rsidRPr="00AD425F">
        <w:rPr>
          <w:rFonts w:ascii="Times New Roman" w:hAnsi="Times New Roman" w:cs="Times New Roman"/>
          <w:sz w:val="24"/>
          <w:szCs w:val="24"/>
        </w:rPr>
        <w:t>Butcher et al., 2018; Gomez-</w:t>
      </w:r>
      <w:proofErr w:type="spellStart"/>
      <w:r w:rsidRPr="00AD425F">
        <w:rPr>
          <w:rFonts w:ascii="Times New Roman" w:hAnsi="Times New Roman" w:cs="Times New Roman"/>
          <w:sz w:val="24"/>
          <w:szCs w:val="24"/>
        </w:rPr>
        <w:t>Pomar</w:t>
      </w:r>
      <w:proofErr w:type="spellEnd"/>
      <w:r w:rsidRPr="00AD425F">
        <w:rPr>
          <w:rFonts w:ascii="Times New Roman" w:hAnsi="Times New Roman" w:cs="Times New Roman"/>
          <w:sz w:val="24"/>
          <w:szCs w:val="24"/>
        </w:rPr>
        <w:t xml:space="preserve"> &amp; Finnegan, 2018; Kraft et al., 2017; </w:t>
      </w:r>
      <w:proofErr w:type="spellStart"/>
      <w:r w:rsidRPr="00AD425F">
        <w:rPr>
          <w:rFonts w:ascii="Times New Roman" w:eastAsia="Times New Roman" w:hAnsi="Times New Roman" w:cs="Times New Roman"/>
          <w:sz w:val="24"/>
          <w:szCs w:val="24"/>
        </w:rPr>
        <w:t>Taleghani</w:t>
      </w:r>
      <w:proofErr w:type="spellEnd"/>
      <w:r w:rsidRPr="00AD425F">
        <w:rPr>
          <w:rFonts w:ascii="Times New Roman" w:eastAsia="Times New Roman" w:hAnsi="Times New Roman" w:cs="Times New Roman"/>
          <w:sz w:val="24"/>
          <w:szCs w:val="24"/>
        </w:rPr>
        <w:t xml:space="preserve"> et al., 2019.</w:t>
      </w:r>
      <w:bookmarkStart w:id="0" w:name="_GoBack"/>
      <w:bookmarkEnd w:id="0"/>
    </w:p>
    <w:p w:rsidR="00DD5169" w:rsidRDefault="00DD5169" w:rsidP="00DD5169">
      <w:pPr>
        <w:rPr>
          <w:b/>
        </w:rPr>
      </w:pPr>
    </w:p>
    <w:p w:rsidR="00DD5169" w:rsidRDefault="00DD5169" w:rsidP="00DD5169"/>
    <w:p w:rsidR="00D266C2" w:rsidRDefault="00DD5169"/>
    <w:sectPr w:rsidR="00D266C2" w:rsidSect="00DD51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69"/>
    <w:rsid w:val="00136DF2"/>
    <w:rsid w:val="003455EE"/>
    <w:rsid w:val="00777D8D"/>
    <w:rsid w:val="00B07F75"/>
    <w:rsid w:val="00DD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E5BB9-4342-4C8D-AC07-77068B5D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5169"/>
    <w:pPr>
      <w:spacing w:after="0" w:line="240" w:lineRule="auto"/>
    </w:pPr>
  </w:style>
  <w:style w:type="table" w:styleId="TableGrid">
    <w:name w:val="Table Grid"/>
    <w:basedOn w:val="TableNormal"/>
    <w:uiPriority w:val="39"/>
    <w:rsid w:val="00DD5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Mauk, Kristen</dc:creator>
  <cp:keywords/>
  <dc:description/>
  <cp:lastModifiedBy>Mauk, Kristen</cp:lastModifiedBy>
  <cp:revision>1</cp:revision>
  <dcterms:created xsi:type="dcterms:W3CDTF">2021-12-14T17:29:00Z</dcterms:created>
  <dcterms:modified xsi:type="dcterms:W3CDTF">2021-12-14T17:32:00Z</dcterms:modified>
</cp:coreProperties>
</file>