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7166" w14:textId="692674F4" w:rsidR="009C59E6" w:rsidRPr="00370398" w:rsidRDefault="00AD7A35" w:rsidP="002B1258">
      <w:pPr>
        <w:pStyle w:val="BodyText"/>
        <w:ind w:left="0" w:hanging="2"/>
        <w:rPr>
          <w:rFonts w:eastAsia="Arial Narrow"/>
          <w:b/>
          <w:bCs/>
        </w:rPr>
      </w:pPr>
      <w:r w:rsidRPr="00370398">
        <w:rPr>
          <w:rFonts w:eastAsia="Arial Narrow"/>
          <w:b/>
          <w:bCs/>
        </w:rPr>
        <w:t>Supplementary D</w:t>
      </w:r>
      <w:r w:rsidR="00370398" w:rsidRPr="00370398">
        <w:rPr>
          <w:rFonts w:eastAsia="Arial Narrow"/>
          <w:b/>
          <w:bCs/>
        </w:rPr>
        <w:t>ata</w:t>
      </w:r>
    </w:p>
    <w:p w14:paraId="52F3716A" w14:textId="5AC62094" w:rsidR="009C59E6" w:rsidRPr="00C51A26" w:rsidRDefault="00AD7A35" w:rsidP="00C51A26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  <w:b/>
        </w:rPr>
        <w:t xml:space="preserve">Radio-HPLC </w:t>
      </w:r>
      <w:r w:rsidR="003642C5" w:rsidRPr="00370398">
        <w:rPr>
          <w:rFonts w:eastAsia="Arial Narrow"/>
          <w:b/>
        </w:rPr>
        <w:t xml:space="preserve">Method Validation </w:t>
      </w:r>
    </w:p>
    <w:p w14:paraId="52F3716C" w14:textId="0BEDB063" w:rsidR="003C4D64" w:rsidRPr="00370398" w:rsidRDefault="003C4D64" w:rsidP="004F27E5">
      <w:pPr>
        <w:pStyle w:val="BodyText"/>
        <w:ind w:left="0" w:hanging="2"/>
        <w:rPr>
          <w:rFonts w:eastAsia="Arial Narrow"/>
          <w:b/>
          <w:bCs/>
        </w:rPr>
      </w:pPr>
      <w:r w:rsidRPr="00370398">
        <w:rPr>
          <w:rFonts w:eastAsia="Arial Narrow"/>
          <w:b/>
          <w:bCs/>
        </w:rPr>
        <w:t>Identification of [F-</w:t>
      </w:r>
      <w:proofErr w:type="gramStart"/>
      <w:r w:rsidRPr="00370398">
        <w:rPr>
          <w:rFonts w:eastAsia="Arial Narrow"/>
          <w:b/>
          <w:bCs/>
        </w:rPr>
        <w:t>18]PSMA</w:t>
      </w:r>
      <w:proofErr w:type="gramEnd"/>
      <w:r w:rsidRPr="00370398">
        <w:rPr>
          <w:rFonts w:eastAsia="Arial Narrow"/>
          <w:b/>
          <w:bCs/>
        </w:rPr>
        <w:t>-1007, PSMA-1007 and OH-PSMA-1007</w:t>
      </w:r>
    </w:p>
    <w:p w14:paraId="52F3716E" w14:textId="5FE32C14" w:rsidR="003C4D64" w:rsidRPr="00370398" w:rsidRDefault="003C4D64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>For this purpose, [F-</w:t>
      </w:r>
      <w:proofErr w:type="gramStart"/>
      <w:r w:rsidRPr="00370398">
        <w:rPr>
          <w:rFonts w:eastAsia="Arial Narrow"/>
        </w:rPr>
        <w:t>18]PSMA</w:t>
      </w:r>
      <w:proofErr w:type="gramEnd"/>
      <w:r w:rsidRPr="00370398">
        <w:rPr>
          <w:rFonts w:eastAsia="Arial Narrow"/>
        </w:rPr>
        <w:t xml:space="preserve">-1007 and </w:t>
      </w:r>
      <w:r w:rsidR="001A5325" w:rsidRPr="00370398">
        <w:rPr>
          <w:rFonts w:eastAsia="Arial Narrow"/>
        </w:rPr>
        <w:t>0.01</w:t>
      </w:r>
      <w:r w:rsidR="001C4A5D" w:rsidRPr="00370398">
        <w:rPr>
          <w:rFonts w:eastAsia="Arial Narrow"/>
        </w:rPr>
        <w:t xml:space="preserve">mg/mL </w:t>
      </w:r>
      <w:r w:rsidRPr="00370398">
        <w:rPr>
          <w:rFonts w:eastAsia="Arial Narrow"/>
        </w:rPr>
        <w:t>PSMA-1007 sample were examined 3 times. Different between retention time of labeled [F-</w:t>
      </w:r>
      <w:proofErr w:type="gramStart"/>
      <w:r w:rsidRPr="00370398">
        <w:rPr>
          <w:rFonts w:eastAsia="Arial Narrow"/>
        </w:rPr>
        <w:t>18]PSMA</w:t>
      </w:r>
      <w:proofErr w:type="gramEnd"/>
      <w:r w:rsidRPr="00370398">
        <w:rPr>
          <w:rFonts w:eastAsia="Arial Narrow"/>
        </w:rPr>
        <w:t xml:space="preserve">-1007 and retention time of PSMA-1007 expressed in minute and percentage </w:t>
      </w:r>
      <w:r w:rsidR="00092166" w:rsidRPr="00370398">
        <w:rPr>
          <w:rFonts w:eastAsia="Arial Narrow"/>
        </w:rPr>
        <w:t xml:space="preserve">of deviation </w:t>
      </w:r>
      <w:r w:rsidRPr="00370398">
        <w:rPr>
          <w:rFonts w:eastAsia="Arial Narrow"/>
        </w:rPr>
        <w:t>were calculated.</w:t>
      </w:r>
    </w:p>
    <w:p w14:paraId="6E387A43" w14:textId="69167999" w:rsidR="00FB2D0D" w:rsidRPr="00370398" w:rsidRDefault="00FB2D0D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>Table</w:t>
      </w:r>
      <w:r w:rsidR="00F4141D" w:rsidRPr="00370398">
        <w:rPr>
          <w:rFonts w:eastAsia="Arial Narrow"/>
        </w:rPr>
        <w:t xml:space="preserve"> 1</w:t>
      </w:r>
      <w:r w:rsidRPr="00370398">
        <w:rPr>
          <w:rFonts w:eastAsia="Arial Narrow"/>
        </w:rPr>
        <w:t xml:space="preserve">: </w:t>
      </w:r>
      <w:r w:rsidRPr="00370398">
        <w:t>Differential retention times between the chemical and radiochemical.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984"/>
        <w:gridCol w:w="1802"/>
      </w:tblGrid>
      <w:tr w:rsidR="00370398" w:rsidRPr="00370398" w14:paraId="4857F151" w14:textId="77777777" w:rsidTr="006F79D9">
        <w:tc>
          <w:tcPr>
            <w:tcW w:w="2518" w:type="dxa"/>
          </w:tcPr>
          <w:p w14:paraId="07B75308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proofErr w:type="spellStart"/>
            <w:r w:rsidRPr="00370398">
              <w:rPr>
                <w:rFonts w:eastAsia="Arial Narrow"/>
                <w:b/>
              </w:rPr>
              <w:t>t</w:t>
            </w:r>
            <w:r w:rsidRPr="00370398">
              <w:rPr>
                <w:rFonts w:eastAsia="Arial Narrow"/>
                <w:b/>
                <w:vertAlign w:val="subscript"/>
              </w:rPr>
              <w:t>R</w:t>
            </w:r>
            <w:proofErr w:type="spellEnd"/>
            <w:r w:rsidRPr="00370398">
              <w:rPr>
                <w:rFonts w:eastAsia="Arial Narrow"/>
                <w:b/>
              </w:rPr>
              <w:t xml:space="preserve"> [F-</w:t>
            </w:r>
            <w:proofErr w:type="gramStart"/>
            <w:r w:rsidRPr="00370398">
              <w:rPr>
                <w:rFonts w:eastAsia="Arial Narrow"/>
                <w:b/>
              </w:rPr>
              <w:t>18]PSMA</w:t>
            </w:r>
            <w:proofErr w:type="gramEnd"/>
            <w:r w:rsidRPr="00370398">
              <w:rPr>
                <w:rFonts w:eastAsia="Arial Narrow"/>
                <w:b/>
              </w:rPr>
              <w:t>-1007, min</w:t>
            </w:r>
          </w:p>
        </w:tc>
        <w:tc>
          <w:tcPr>
            <w:tcW w:w="2552" w:type="dxa"/>
          </w:tcPr>
          <w:p w14:paraId="1EF90298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proofErr w:type="spellStart"/>
            <w:r w:rsidRPr="00370398">
              <w:rPr>
                <w:rFonts w:eastAsia="Arial Narrow"/>
                <w:b/>
              </w:rPr>
              <w:t>t</w:t>
            </w:r>
            <w:r w:rsidRPr="00370398">
              <w:rPr>
                <w:rFonts w:eastAsia="Arial Narrow"/>
                <w:b/>
                <w:vertAlign w:val="subscript"/>
              </w:rPr>
              <w:t>R</w:t>
            </w:r>
            <w:proofErr w:type="spellEnd"/>
            <w:r w:rsidRPr="00370398">
              <w:rPr>
                <w:rFonts w:eastAsia="Arial Narrow"/>
                <w:b/>
              </w:rPr>
              <w:t xml:space="preserve"> PSMA-1007, min</w:t>
            </w:r>
          </w:p>
        </w:tc>
        <w:tc>
          <w:tcPr>
            <w:tcW w:w="1984" w:type="dxa"/>
          </w:tcPr>
          <w:p w14:paraId="51E54CE5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proofErr w:type="spellStart"/>
            <w:r w:rsidRPr="00370398">
              <w:rPr>
                <w:rFonts w:eastAsia="Arial Narrow"/>
                <w:b/>
              </w:rPr>
              <w:t>t</w:t>
            </w:r>
            <w:r w:rsidRPr="00370398">
              <w:rPr>
                <w:rFonts w:eastAsia="Arial Narrow"/>
                <w:b/>
                <w:vertAlign w:val="subscript"/>
              </w:rPr>
              <w:t>R</w:t>
            </w:r>
            <w:proofErr w:type="spellEnd"/>
            <w:r w:rsidRPr="00370398">
              <w:rPr>
                <w:rFonts w:eastAsia="Arial Narrow"/>
                <w:b/>
                <w:vertAlign w:val="subscript"/>
              </w:rPr>
              <w:t xml:space="preserve"> </w:t>
            </w:r>
            <w:r w:rsidRPr="00370398">
              <w:rPr>
                <w:rFonts w:eastAsia="Arial Narrow"/>
                <w:b/>
              </w:rPr>
              <w:t>deviation, min</w:t>
            </w:r>
          </w:p>
        </w:tc>
        <w:tc>
          <w:tcPr>
            <w:tcW w:w="1802" w:type="dxa"/>
          </w:tcPr>
          <w:p w14:paraId="64C3D890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% deviation</w:t>
            </w:r>
          </w:p>
        </w:tc>
      </w:tr>
      <w:tr w:rsidR="00370398" w:rsidRPr="00370398" w14:paraId="39546FF4" w14:textId="77777777" w:rsidTr="006F79D9">
        <w:trPr>
          <w:trHeight w:val="268"/>
        </w:trPr>
        <w:tc>
          <w:tcPr>
            <w:tcW w:w="2518" w:type="dxa"/>
          </w:tcPr>
          <w:p w14:paraId="70D18491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6.33</w:t>
            </w:r>
          </w:p>
        </w:tc>
        <w:tc>
          <w:tcPr>
            <w:tcW w:w="2552" w:type="dxa"/>
          </w:tcPr>
          <w:p w14:paraId="30D7AE34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6.27</w:t>
            </w:r>
          </w:p>
        </w:tc>
        <w:tc>
          <w:tcPr>
            <w:tcW w:w="1984" w:type="dxa"/>
          </w:tcPr>
          <w:p w14:paraId="5D42E0B9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0.06</w:t>
            </w:r>
          </w:p>
        </w:tc>
        <w:tc>
          <w:tcPr>
            <w:tcW w:w="1802" w:type="dxa"/>
          </w:tcPr>
          <w:p w14:paraId="69B3FF42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0.95</w:t>
            </w:r>
          </w:p>
        </w:tc>
      </w:tr>
      <w:tr w:rsidR="00370398" w:rsidRPr="00370398" w14:paraId="559B275B" w14:textId="77777777" w:rsidTr="006F79D9">
        <w:tc>
          <w:tcPr>
            <w:tcW w:w="2518" w:type="dxa"/>
          </w:tcPr>
          <w:p w14:paraId="7757A979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6.33</w:t>
            </w:r>
          </w:p>
        </w:tc>
        <w:tc>
          <w:tcPr>
            <w:tcW w:w="2552" w:type="dxa"/>
          </w:tcPr>
          <w:p w14:paraId="790D6BE2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6.25</w:t>
            </w:r>
          </w:p>
        </w:tc>
        <w:tc>
          <w:tcPr>
            <w:tcW w:w="1984" w:type="dxa"/>
          </w:tcPr>
          <w:p w14:paraId="12F0B0B8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0.08</w:t>
            </w:r>
          </w:p>
        </w:tc>
        <w:tc>
          <w:tcPr>
            <w:tcW w:w="1802" w:type="dxa"/>
          </w:tcPr>
          <w:p w14:paraId="36B840CF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1.26</w:t>
            </w:r>
          </w:p>
        </w:tc>
      </w:tr>
      <w:tr w:rsidR="00370398" w:rsidRPr="00370398" w14:paraId="0FE60BE1" w14:textId="77777777" w:rsidTr="006F79D9">
        <w:tc>
          <w:tcPr>
            <w:tcW w:w="2518" w:type="dxa"/>
          </w:tcPr>
          <w:p w14:paraId="3C41A5F3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6.33</w:t>
            </w:r>
          </w:p>
        </w:tc>
        <w:tc>
          <w:tcPr>
            <w:tcW w:w="2552" w:type="dxa"/>
          </w:tcPr>
          <w:p w14:paraId="3D883797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6.27</w:t>
            </w:r>
          </w:p>
        </w:tc>
        <w:tc>
          <w:tcPr>
            <w:tcW w:w="1984" w:type="dxa"/>
          </w:tcPr>
          <w:p w14:paraId="2DC96D4E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0.06</w:t>
            </w:r>
          </w:p>
        </w:tc>
        <w:tc>
          <w:tcPr>
            <w:tcW w:w="1802" w:type="dxa"/>
          </w:tcPr>
          <w:p w14:paraId="23730DD3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0.95</w:t>
            </w:r>
          </w:p>
        </w:tc>
      </w:tr>
      <w:tr w:rsidR="00FB2D0D" w:rsidRPr="00370398" w14:paraId="4AED1B9F" w14:textId="77777777" w:rsidTr="006F79D9">
        <w:tc>
          <w:tcPr>
            <w:tcW w:w="2518" w:type="dxa"/>
          </w:tcPr>
          <w:p w14:paraId="0762815F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 xml:space="preserve">         Avg: 6.33</w:t>
            </w:r>
          </w:p>
        </w:tc>
        <w:tc>
          <w:tcPr>
            <w:tcW w:w="2552" w:type="dxa"/>
          </w:tcPr>
          <w:p w14:paraId="6909C9B0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 xml:space="preserve">         Avg: 6.26</w:t>
            </w:r>
          </w:p>
        </w:tc>
        <w:tc>
          <w:tcPr>
            <w:tcW w:w="1984" w:type="dxa"/>
          </w:tcPr>
          <w:p w14:paraId="378B5D46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 xml:space="preserve">    Avg: 0.07</w:t>
            </w:r>
          </w:p>
        </w:tc>
        <w:tc>
          <w:tcPr>
            <w:tcW w:w="1802" w:type="dxa"/>
          </w:tcPr>
          <w:p w14:paraId="78861553" w14:textId="77777777" w:rsidR="00FB2D0D" w:rsidRPr="00370398" w:rsidRDefault="00FB2D0D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 xml:space="preserve">   Avg: 1.05</w:t>
            </w:r>
          </w:p>
        </w:tc>
      </w:tr>
    </w:tbl>
    <w:p w14:paraId="2018B084" w14:textId="77777777" w:rsidR="00FB2D0D" w:rsidRPr="00370398" w:rsidRDefault="00FB2D0D" w:rsidP="002B1258">
      <w:pPr>
        <w:pStyle w:val="BodyText"/>
        <w:ind w:left="0" w:hanging="2"/>
        <w:rPr>
          <w:rFonts w:eastAsia="Arial Narrow"/>
        </w:rPr>
      </w:pPr>
    </w:p>
    <w:p w14:paraId="52F3716F" w14:textId="77777777" w:rsidR="009C59E6" w:rsidRPr="00370398" w:rsidRDefault="009C59E6" w:rsidP="002B1258">
      <w:pPr>
        <w:pStyle w:val="BodyText"/>
        <w:ind w:left="0" w:hanging="2"/>
        <w:rPr>
          <w:rFonts w:eastAsia="Arial Narrow"/>
          <w:b/>
        </w:rPr>
      </w:pPr>
    </w:p>
    <w:p w14:paraId="52F37170" w14:textId="77777777" w:rsidR="003C4D64" w:rsidRPr="00370398" w:rsidRDefault="000D5D19" w:rsidP="002B1258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t>Linearity</w:t>
      </w:r>
    </w:p>
    <w:p w14:paraId="52F37171" w14:textId="77777777" w:rsidR="009C59E6" w:rsidRPr="00370398" w:rsidRDefault="009C59E6" w:rsidP="00820E0D">
      <w:pPr>
        <w:pStyle w:val="BodyText"/>
        <w:ind w:left="0" w:hanging="2"/>
        <w:jc w:val="both"/>
      </w:pPr>
      <w:r w:rsidRPr="00370398">
        <w:t>The linearity determination was conducted in triplicate using the following concentrations: 0.03 mg/mL, 0.02 mg/mL, 0.01 mg/mL, and 0.005 mg/mL for the PSMA-1007 standard reference; and 0.15 mg/mL, 0.1 mg/mL, 0.05 mg/mL, and 0.025 mg/mL for the impurity standard reference OHPSMA-1007. For other impurities, linearity testing of the trifluoroacetate salt was performed with concentrations of 0.025 mg/mL, 0.05 mg/mL, 0.1 mg/mL, and 0.15 mg/</w:t>
      </w:r>
      <w:proofErr w:type="spellStart"/>
      <w:r w:rsidRPr="00370398">
        <w:t>mL.</w:t>
      </w:r>
      <w:proofErr w:type="spellEnd"/>
    </w:p>
    <w:p w14:paraId="7D5613A2" w14:textId="43C4374A" w:rsidR="001D265D" w:rsidRPr="00370398" w:rsidRDefault="001D265D" w:rsidP="00820E0D">
      <w:pPr>
        <w:pStyle w:val="BodyText"/>
        <w:ind w:leftChars="0" w:left="0" w:firstLineChars="0" w:firstLine="0"/>
      </w:pPr>
    </w:p>
    <w:tbl>
      <w:tblPr>
        <w:tblW w:w="8929" w:type="dxa"/>
        <w:tblInd w:w="93" w:type="dxa"/>
        <w:tblLook w:val="04A0" w:firstRow="1" w:lastRow="0" w:firstColumn="1" w:lastColumn="0" w:noHBand="0" w:noVBand="1"/>
      </w:tblPr>
      <w:tblGrid>
        <w:gridCol w:w="1855"/>
        <w:gridCol w:w="1192"/>
        <w:gridCol w:w="1217"/>
        <w:gridCol w:w="1138"/>
        <w:gridCol w:w="1134"/>
        <w:gridCol w:w="1276"/>
        <w:gridCol w:w="970"/>
        <w:gridCol w:w="147"/>
      </w:tblGrid>
      <w:tr w:rsidR="00370398" w:rsidRPr="00370398" w14:paraId="3F069EC9" w14:textId="77777777" w:rsidTr="006F79D9">
        <w:trPr>
          <w:trHeight w:val="263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FA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 xml:space="preserve"> PSMA-1007 Concentration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9A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0.03 mg/ml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0B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 xml:space="preserve">0.02 </w:t>
            </w:r>
          </w:p>
          <w:p w14:paraId="7FE954D4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mg/ml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37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0.01 mg/ml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894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0.005 mg/ml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CD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Y-intercept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55A0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29CE8A84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FA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Area Under curve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B918E2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A08007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00747FF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261EF43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22486D9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24C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9505BA1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CB6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C41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017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E7D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A90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6D2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-11.9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63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9EB3AAB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58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81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015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FB2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350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31B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13.4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61F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A2C9731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9374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A11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C16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7BB0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AD6F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264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-15.1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B9B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2D1E4392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A5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995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2360.3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FA1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1581.4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FE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780.5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911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390.8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CDC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A046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72D5E138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CF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proofErr w:type="spellStart"/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st.</w:t>
            </w:r>
            <w:proofErr w:type="spellEnd"/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 xml:space="preserve"> deviation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BA7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31.295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4C1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15.003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44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3.071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054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5.837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239D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37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2A4FE233" w14:textId="77777777" w:rsidTr="006F79D9">
        <w:trPr>
          <w:gridAfter w:val="1"/>
          <w:wAfter w:w="147" w:type="dxa"/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97E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BE7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F814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2B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34F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1.49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D45F10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Should be less than 2%</w:t>
            </w:r>
          </w:p>
        </w:tc>
      </w:tr>
      <w:tr w:rsidR="00370398" w:rsidRPr="00370398" w14:paraId="39A7BBA8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BE5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Repeatability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D0F7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1.04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63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 xml:space="preserve">Should be less than 2%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862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D53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1D265D" w:rsidRPr="00370398" w14:paraId="5C0C4EBB" w14:textId="77777777" w:rsidTr="006F79D9">
        <w:trPr>
          <w:trHeight w:val="263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E99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Linearity (R2)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A3B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1.000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1CA5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 xml:space="preserve">Should be larger than 0.995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D28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91DA" w14:textId="77777777" w:rsidR="001D265D" w:rsidRPr="00370398" w:rsidRDefault="001D265D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</w:tbl>
    <w:p w14:paraId="5F354368" w14:textId="77777777" w:rsidR="001D265D" w:rsidRPr="00370398" w:rsidRDefault="001D265D" w:rsidP="002B1258">
      <w:pPr>
        <w:pStyle w:val="BodyText"/>
        <w:ind w:left="0" w:hanging="2"/>
      </w:pPr>
    </w:p>
    <w:p w14:paraId="1967E711" w14:textId="77777777" w:rsidR="001D265D" w:rsidRPr="00370398" w:rsidRDefault="001D265D" w:rsidP="002B1258">
      <w:pPr>
        <w:pStyle w:val="BodyText"/>
        <w:ind w:left="0" w:hanging="2"/>
        <w:rPr>
          <w:rFonts w:eastAsia="Arial Narrow"/>
        </w:rPr>
      </w:pPr>
      <w:r w:rsidRPr="00370398">
        <w:rPr>
          <w:noProof/>
          <w:lang w:val="en-MY" w:eastAsia="en-MY"/>
        </w:rPr>
        <w:lastRenderedPageBreak/>
        <w:drawing>
          <wp:inline distT="0" distB="0" distL="0" distR="0" wp14:anchorId="36ACFD5F" wp14:editId="2580FC81">
            <wp:extent cx="4267200" cy="2452254"/>
            <wp:effectExtent l="0" t="0" r="19050" b="24765"/>
            <wp:docPr id="1987139205" name="Chart 198713920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183B70" w14:textId="77777777" w:rsidR="001D265D" w:rsidRPr="00370398" w:rsidRDefault="001D265D" w:rsidP="002B1258">
      <w:pPr>
        <w:pStyle w:val="BodyText"/>
        <w:ind w:left="0" w:hanging="2"/>
        <w:rPr>
          <w:rFonts w:cs="Arial"/>
          <w:position w:val="0"/>
          <w:lang w:val="en-MY" w:eastAsia="en-MY"/>
        </w:rPr>
      </w:pPr>
      <w:r w:rsidRPr="00370398">
        <w:rPr>
          <w:rFonts w:cs="Arial"/>
          <w:position w:val="0"/>
          <w:lang w:val="en-MY" w:eastAsia="en-MY"/>
        </w:rPr>
        <w:t xml:space="preserve">Figure 1: Calibration curve of PSMA-1007 reference standard using the </w:t>
      </w:r>
      <w:proofErr w:type="spellStart"/>
      <w:r w:rsidRPr="00370398">
        <w:rPr>
          <w:rFonts w:cs="Arial"/>
          <w:position w:val="0"/>
          <w:lang w:val="en-MY" w:eastAsia="en-MY"/>
        </w:rPr>
        <w:t>rHPLC</w:t>
      </w:r>
      <w:proofErr w:type="spellEnd"/>
      <w:r w:rsidRPr="00370398">
        <w:rPr>
          <w:rFonts w:cs="Arial"/>
          <w:position w:val="0"/>
          <w:lang w:val="en-MY" w:eastAsia="en-MY"/>
        </w:rPr>
        <w:t xml:space="preserve"> method</w:t>
      </w:r>
    </w:p>
    <w:p w14:paraId="50AC4EC1" w14:textId="77777777" w:rsidR="001D265D" w:rsidRPr="00370398" w:rsidRDefault="001D265D" w:rsidP="002B1258">
      <w:pPr>
        <w:pStyle w:val="BodyText"/>
        <w:ind w:left="0" w:hanging="2"/>
      </w:pPr>
    </w:p>
    <w:p w14:paraId="52F37173" w14:textId="77777777" w:rsidR="009C59E6" w:rsidRPr="00370398" w:rsidRDefault="009C59E6" w:rsidP="002B1258">
      <w:pPr>
        <w:pStyle w:val="BodyText"/>
        <w:ind w:left="0" w:hanging="2"/>
        <w:rPr>
          <w:rFonts w:eastAsia="Arial Narrow"/>
        </w:rPr>
      </w:pPr>
    </w:p>
    <w:p w14:paraId="52F37175" w14:textId="7B464195" w:rsidR="009C59E6" w:rsidRPr="00370398" w:rsidRDefault="001F4708" w:rsidP="00706EEE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  <w:b/>
        </w:rPr>
        <w:t xml:space="preserve">Precision </w:t>
      </w:r>
    </w:p>
    <w:p w14:paraId="52F37176" w14:textId="26B9C303" w:rsidR="0085432E" w:rsidRPr="00370398" w:rsidRDefault="009C59E6" w:rsidP="00F4141D">
      <w:pPr>
        <w:pStyle w:val="BodyText"/>
        <w:ind w:left="0" w:hanging="2"/>
        <w:jc w:val="both"/>
      </w:pPr>
      <w:r w:rsidRPr="00370398">
        <w:t>The precision of the chromatographic method was evaluated by injecting the PSMA-1007 reference standard at a concentration of 0.01 mg/mL in triplicate. The peak area and retention time were measured, and the relative standard deviation (RSD) was calculated. An RSD of less than 2% was required to meet the acceptance criteria. The r</w:t>
      </w:r>
      <w:r w:rsidR="00311E9E" w:rsidRPr="00370398">
        <w:t xml:space="preserve">esults are summarized in Table </w:t>
      </w:r>
      <w:r w:rsidR="00F4141D" w:rsidRPr="00370398">
        <w:t>2</w:t>
      </w:r>
      <w:r w:rsidR="00311E9E" w:rsidRPr="00370398">
        <w:t xml:space="preserve"> and Table </w:t>
      </w:r>
      <w:r w:rsidR="00F4141D" w:rsidRPr="00370398">
        <w:t>3</w:t>
      </w:r>
      <w:r w:rsidRPr="00370398">
        <w:t>.</w:t>
      </w:r>
    </w:p>
    <w:p w14:paraId="1482DA39" w14:textId="77777777" w:rsidR="00A36EB1" w:rsidRPr="00370398" w:rsidRDefault="00A36EB1" w:rsidP="002B1258">
      <w:pPr>
        <w:pStyle w:val="BodyText"/>
        <w:ind w:left="0" w:hanging="2"/>
      </w:pPr>
    </w:p>
    <w:p w14:paraId="286CE3FE" w14:textId="2C68D5D1" w:rsidR="00A36EB1" w:rsidRPr="00370398" w:rsidRDefault="00A36EB1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F4141D" w:rsidRPr="00370398">
        <w:rPr>
          <w:rFonts w:eastAsia="Arial Narrow"/>
        </w:rPr>
        <w:t>2</w:t>
      </w:r>
      <w:r w:rsidRPr="00370398">
        <w:rPr>
          <w:rFonts w:eastAsia="Arial Narrow"/>
        </w:rPr>
        <w:t>: Area under curve (AUC) of 0.01mg/mL PSMA-1007 for precision analysis</w:t>
      </w:r>
    </w:p>
    <w:tbl>
      <w:tblPr>
        <w:tblW w:w="6239" w:type="dxa"/>
        <w:tblInd w:w="93" w:type="dxa"/>
        <w:tblLook w:val="04A0" w:firstRow="1" w:lastRow="0" w:firstColumn="1" w:lastColumn="0" w:noHBand="0" w:noVBand="1"/>
      </w:tblPr>
      <w:tblGrid>
        <w:gridCol w:w="2027"/>
        <w:gridCol w:w="1548"/>
        <w:gridCol w:w="306"/>
        <w:gridCol w:w="1026"/>
        <w:gridCol w:w="1332"/>
      </w:tblGrid>
      <w:tr w:rsidR="00370398" w:rsidRPr="00370398" w14:paraId="16952CB2" w14:textId="77777777" w:rsidTr="006F79D9">
        <w:trPr>
          <w:trHeight w:val="26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4AEE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Area Under curve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D7E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0.01 (mg/mL)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C627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CCE3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B4D1115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38E98BA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68E0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CC5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CA8E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6AC7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5CE11FD2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77F36FE1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E74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DB89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776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6FB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B75A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E7ACC10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6DBB6F88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047F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6C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5E60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32C2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9402AEC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166BC2E8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9F67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1AF1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780.5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784D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F943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09670A2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76F7FCFA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FFC5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standard deviation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8F6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3.071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F1BF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1A4F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C3C0E29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A36EB1" w:rsidRPr="00370398" w14:paraId="5FD09A1A" w14:textId="77777777" w:rsidTr="006F79D9">
        <w:trPr>
          <w:trHeight w:val="262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AF8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137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0.39%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12DE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ascii="Arial" w:hAnsi="Arial" w:cs="Arial"/>
                <w:position w:val="0"/>
                <w:sz w:val="16"/>
                <w:szCs w:val="16"/>
                <w:lang w:val="en-MY" w:eastAsia="en-MY"/>
              </w:rPr>
              <w:t>Should be less than 2%</w:t>
            </w:r>
          </w:p>
        </w:tc>
      </w:tr>
    </w:tbl>
    <w:p w14:paraId="60B4ADE9" w14:textId="77777777" w:rsidR="00A36EB1" w:rsidRPr="00370398" w:rsidRDefault="00A36EB1" w:rsidP="002B1258">
      <w:pPr>
        <w:pStyle w:val="BodyText"/>
        <w:ind w:left="0" w:hanging="2"/>
        <w:rPr>
          <w:rFonts w:eastAsia="Arial Narrow"/>
        </w:rPr>
      </w:pPr>
    </w:p>
    <w:p w14:paraId="0E80B504" w14:textId="77777777" w:rsidR="00A36EB1" w:rsidRPr="00370398" w:rsidRDefault="00A36EB1" w:rsidP="002B1258">
      <w:pPr>
        <w:pStyle w:val="BodyText"/>
        <w:ind w:left="0" w:hanging="2"/>
        <w:rPr>
          <w:rFonts w:eastAsia="Arial Narrow"/>
        </w:rPr>
      </w:pPr>
    </w:p>
    <w:p w14:paraId="7AAD071B" w14:textId="32B5C017" w:rsidR="00A36EB1" w:rsidRPr="00370398" w:rsidRDefault="00A36EB1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F4141D" w:rsidRPr="00370398">
        <w:rPr>
          <w:rFonts w:eastAsia="Arial Narrow"/>
        </w:rPr>
        <w:t>3</w:t>
      </w:r>
      <w:r w:rsidRPr="00370398">
        <w:rPr>
          <w:rFonts w:eastAsia="Arial Narrow"/>
        </w:rPr>
        <w:t>: Retention time (</w:t>
      </w:r>
      <w:proofErr w:type="spellStart"/>
      <w:r w:rsidRPr="00370398">
        <w:rPr>
          <w:rFonts w:eastAsia="Arial Narrow"/>
        </w:rPr>
        <w:t>t</w:t>
      </w:r>
      <w:r w:rsidRPr="00370398">
        <w:rPr>
          <w:rFonts w:eastAsia="Arial Narrow"/>
          <w:vertAlign w:val="subscript"/>
        </w:rPr>
        <w:t>R</w:t>
      </w:r>
      <w:proofErr w:type="spellEnd"/>
      <w:r w:rsidRPr="00370398">
        <w:rPr>
          <w:rFonts w:eastAsia="Arial Narrow"/>
        </w:rPr>
        <w:t>) of 0.01mg/mL PSMA-1007 for precision analysis</w:t>
      </w:r>
    </w:p>
    <w:tbl>
      <w:tblPr>
        <w:tblW w:w="6055" w:type="dxa"/>
        <w:tblInd w:w="93" w:type="dxa"/>
        <w:tblLook w:val="04A0" w:firstRow="1" w:lastRow="0" w:firstColumn="1" w:lastColumn="0" w:noHBand="0" w:noVBand="1"/>
      </w:tblPr>
      <w:tblGrid>
        <w:gridCol w:w="2000"/>
        <w:gridCol w:w="1559"/>
        <w:gridCol w:w="308"/>
        <w:gridCol w:w="940"/>
        <w:gridCol w:w="1248"/>
      </w:tblGrid>
      <w:tr w:rsidR="00370398" w:rsidRPr="00370398" w14:paraId="6CF14DCD" w14:textId="77777777" w:rsidTr="006F79D9">
        <w:trPr>
          <w:trHeight w:val="25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A0E6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Retention Time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EC4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0.01 (mg/mL)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EAA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B52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2832A0F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65E1025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9C79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lastRenderedPageBreak/>
              <w:t>Run #1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901F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7A6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0F6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1EBD11BC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197F8EF1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33C7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55F6A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44BD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1B2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EE9C6E1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08709D5E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B67ED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EC7A9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930F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92C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E9154D7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0669C2B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1C9C8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E50E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6.263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3D67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60CC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7BC5DC8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34E5290A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207A6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Standard deviation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1F9C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4EE8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CB3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17587BD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A36EB1" w:rsidRPr="00370398" w14:paraId="3988BFFB" w14:textId="77777777" w:rsidTr="006F79D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43421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CB79" w14:textId="77777777" w:rsidR="00A36EB1" w:rsidRPr="00370398" w:rsidRDefault="00A36EB1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0.15%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9F8" w14:textId="77777777" w:rsidR="00A36EB1" w:rsidRPr="00370398" w:rsidRDefault="00A36EB1" w:rsidP="002B1258">
            <w:pPr>
              <w:pStyle w:val="BodyText"/>
              <w:ind w:left="0" w:hanging="2"/>
              <w:rPr>
                <w:rFonts w:ascii="Arial" w:hAnsi="Arial"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ascii="Arial" w:hAnsi="Arial" w:cs="Arial"/>
                <w:position w:val="0"/>
                <w:sz w:val="16"/>
                <w:szCs w:val="16"/>
                <w:lang w:val="en-MY" w:eastAsia="en-MY"/>
              </w:rPr>
              <w:t>Should be less than 2%</w:t>
            </w:r>
          </w:p>
        </w:tc>
      </w:tr>
    </w:tbl>
    <w:p w14:paraId="52F37177" w14:textId="77777777" w:rsidR="009C59E6" w:rsidRPr="00370398" w:rsidRDefault="009C59E6" w:rsidP="00C51A26">
      <w:pPr>
        <w:pStyle w:val="BodyText"/>
        <w:ind w:leftChars="0" w:left="0" w:firstLineChars="0" w:firstLine="0"/>
        <w:rPr>
          <w:rFonts w:eastAsia="Arial Narrow"/>
        </w:rPr>
      </w:pPr>
    </w:p>
    <w:p w14:paraId="52F37179" w14:textId="61A06D98" w:rsidR="00E03D4F" w:rsidRPr="00370398" w:rsidRDefault="003642C5" w:rsidP="00C51A26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  <w:b/>
        </w:rPr>
        <w:t>Accuracy</w:t>
      </w:r>
    </w:p>
    <w:p w14:paraId="52F3717A" w14:textId="5EB96773" w:rsidR="00E03D4F" w:rsidRPr="00370398" w:rsidRDefault="00967C22" w:rsidP="00967C22">
      <w:pPr>
        <w:pStyle w:val="BodyText"/>
        <w:ind w:left="0" w:hanging="2"/>
        <w:jc w:val="both"/>
        <w:rPr>
          <w:rFonts w:eastAsia="Arial Narrow"/>
        </w:rPr>
      </w:pPr>
      <w:r w:rsidRPr="00370398">
        <w:rPr>
          <w:rFonts w:eastAsia="Arial Narrow"/>
        </w:rPr>
        <w:t>F</w:t>
      </w:r>
      <w:r w:rsidR="00320D63" w:rsidRPr="00370398">
        <w:rPr>
          <w:rFonts w:eastAsia="Arial Narrow"/>
        </w:rPr>
        <w:t xml:space="preserve">our different </w:t>
      </w:r>
      <w:proofErr w:type="gramStart"/>
      <w:r w:rsidR="00320D63" w:rsidRPr="00370398">
        <w:rPr>
          <w:rFonts w:eastAsia="Arial Narrow"/>
        </w:rPr>
        <w:t>concentration</w:t>
      </w:r>
      <w:proofErr w:type="gramEnd"/>
      <w:r w:rsidR="00320D63" w:rsidRPr="00370398">
        <w:rPr>
          <w:rFonts w:eastAsia="Arial Narrow"/>
        </w:rPr>
        <w:t xml:space="preserve"> of the standard reference PSMA-1007 were prepared; 0.03mg/ml, 0.02 mg/ml, 0.01 mg/ml and 0.005 mg/ml. Each concentration of the reference then was injected </w:t>
      </w:r>
      <w:proofErr w:type="gramStart"/>
      <w:r w:rsidR="00320D63" w:rsidRPr="00370398">
        <w:rPr>
          <w:rFonts w:eastAsia="Arial Narrow"/>
        </w:rPr>
        <w:t>in</w:t>
      </w:r>
      <w:proofErr w:type="gramEnd"/>
      <w:r w:rsidR="00320D63" w:rsidRPr="00370398">
        <w:rPr>
          <w:rFonts w:eastAsia="Arial Narrow"/>
        </w:rPr>
        <w:t xml:space="preserve"> triplicate. The percentage</w:t>
      </w:r>
      <w:r w:rsidR="003642C5" w:rsidRPr="00370398">
        <w:rPr>
          <w:rFonts w:eastAsia="Arial Narrow"/>
        </w:rPr>
        <w:t xml:space="preserve"> recovery</w:t>
      </w:r>
      <w:r w:rsidR="00320D63" w:rsidRPr="00370398">
        <w:rPr>
          <w:rFonts w:eastAsia="Arial Narrow"/>
        </w:rPr>
        <w:t xml:space="preserve"> was calculated, with the acceptable </w:t>
      </w:r>
      <w:r w:rsidR="003642C5" w:rsidRPr="00370398">
        <w:rPr>
          <w:rFonts w:eastAsia="Arial Narrow"/>
        </w:rPr>
        <w:t xml:space="preserve">recovery </w:t>
      </w:r>
      <w:r w:rsidR="00320D63" w:rsidRPr="00370398">
        <w:rPr>
          <w:rFonts w:eastAsia="Arial Narrow"/>
        </w:rPr>
        <w:t>range set at</w:t>
      </w:r>
      <w:r w:rsidR="003642C5" w:rsidRPr="00370398">
        <w:rPr>
          <w:rFonts w:eastAsia="Arial Narrow"/>
        </w:rPr>
        <w:t xml:space="preserve"> within 90-110%.</w:t>
      </w:r>
    </w:p>
    <w:p w14:paraId="57C9DE2A" w14:textId="77777777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</w:p>
    <w:p w14:paraId="398EE278" w14:textId="0892FF21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967C22" w:rsidRPr="00370398">
        <w:rPr>
          <w:rFonts w:eastAsia="Arial Narrow"/>
        </w:rPr>
        <w:t>4</w:t>
      </w:r>
      <w:r w:rsidRPr="00370398">
        <w:rPr>
          <w:rFonts w:eastAsia="Arial Narrow"/>
        </w:rPr>
        <w:t>: Percentage (%) of recovery for accuracy analysis.</w:t>
      </w:r>
    </w:p>
    <w:tbl>
      <w:tblPr>
        <w:tblW w:w="8216" w:type="dxa"/>
        <w:tblInd w:w="93" w:type="dxa"/>
        <w:tblLook w:val="04A0" w:firstRow="1" w:lastRow="0" w:firstColumn="1" w:lastColumn="0" w:noHBand="0" w:noVBand="1"/>
      </w:tblPr>
      <w:tblGrid>
        <w:gridCol w:w="1347"/>
        <w:gridCol w:w="1799"/>
        <w:gridCol w:w="1509"/>
        <w:gridCol w:w="1153"/>
        <w:gridCol w:w="1204"/>
        <w:gridCol w:w="1204"/>
      </w:tblGrid>
      <w:tr w:rsidR="00370398" w:rsidRPr="00370398" w14:paraId="1EC2D149" w14:textId="77777777" w:rsidTr="006F79D9">
        <w:trPr>
          <w:trHeight w:val="65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EB2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No of run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E5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PSMA-1007 Concentration (mg/ml)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EA4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Area Under curve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53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Average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7D4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% of recovery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3D1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Average % of recovery</w:t>
            </w:r>
          </w:p>
        </w:tc>
      </w:tr>
      <w:tr w:rsidR="00370398" w:rsidRPr="00370398" w14:paraId="574F6300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391E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D6C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0.03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B9EC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2364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0B0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05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100.14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97F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100.0</w:t>
            </w:r>
          </w:p>
        </w:tc>
      </w:tr>
      <w:tr w:rsidR="00370398" w:rsidRPr="00370398" w14:paraId="7081F932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5DE6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#2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E25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D61EE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2320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FC7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50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98.31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E1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3098483C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1EB2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#3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FD2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C679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2397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00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962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101.55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429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F97A0D8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E8E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E91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D45F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1561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47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EB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98.70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60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100.0</w:t>
            </w:r>
          </w:p>
        </w:tc>
      </w:tr>
      <w:tr w:rsidR="00370398" w:rsidRPr="00370398" w14:paraId="4263A2EA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255C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#2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E4C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75259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1587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65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58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100.37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413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1EFD1B8A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C3F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#3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0C0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F2599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1596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96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A6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100.93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6A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18A14EEE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64C2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72C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0.01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01B4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190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2DA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100.17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37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100.0</w:t>
            </w:r>
          </w:p>
        </w:tc>
      </w:tr>
      <w:tr w:rsidR="00370398" w:rsidRPr="00370398" w14:paraId="6B378695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DD19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#2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3F1CA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AD12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776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F5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F8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99.46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98C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7E01AAD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3037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#3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1866C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B16B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783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61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80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100.37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240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E6913BC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C3B8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C4B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0.005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6AB6E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384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EB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56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98.23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16B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100.0</w:t>
            </w:r>
          </w:p>
        </w:tc>
      </w:tr>
      <w:tr w:rsidR="00370398" w:rsidRPr="00370398" w14:paraId="35A322E5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6FD2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4DB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7118F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398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4F2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D5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101.88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D52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ED1CE2" w:rsidRPr="00370398" w14:paraId="0F298E45" w14:textId="77777777" w:rsidTr="006F79D9">
        <w:trPr>
          <w:trHeight w:val="256"/>
        </w:trPr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7E69F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16"/>
                <w:szCs w:val="16"/>
                <w:lang w:val="en-MY" w:eastAsia="en-MY"/>
              </w:rPr>
            </w:pPr>
            <w:r w:rsidRPr="00370398">
              <w:rPr>
                <w:rFonts w:cs="Arial"/>
                <w:position w:val="0"/>
                <w:sz w:val="16"/>
                <w:szCs w:val="16"/>
                <w:lang w:val="en-MY" w:eastAsia="en-MY"/>
              </w:rPr>
              <w:t>Run #3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44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E95A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390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FB9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E0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99.89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A42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</w:tbl>
    <w:p w14:paraId="4843B5D2" w14:textId="77777777" w:rsidR="00ED1CE2" w:rsidRPr="00370398" w:rsidRDefault="00ED1CE2" w:rsidP="002B1258">
      <w:pPr>
        <w:pStyle w:val="BodyText"/>
        <w:ind w:left="0" w:hanging="2"/>
        <w:rPr>
          <w:rFonts w:eastAsia="Arial Narrow"/>
          <w:b/>
        </w:rPr>
      </w:pPr>
    </w:p>
    <w:p w14:paraId="68A32170" w14:textId="77777777" w:rsidR="00ED1CE2" w:rsidRPr="00370398" w:rsidRDefault="00ED1CE2" w:rsidP="002B1258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br w:type="page"/>
      </w:r>
    </w:p>
    <w:p w14:paraId="60EB2F9F" w14:textId="77777777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</w:p>
    <w:p w14:paraId="52F3717B" w14:textId="77777777" w:rsidR="00947C9A" w:rsidRPr="00370398" w:rsidRDefault="00947C9A" w:rsidP="002B1258">
      <w:pPr>
        <w:pStyle w:val="BodyText"/>
        <w:ind w:left="0" w:hanging="2"/>
        <w:rPr>
          <w:rFonts w:eastAsia="Arial Narrow"/>
        </w:rPr>
      </w:pPr>
    </w:p>
    <w:p w14:paraId="52F3717C" w14:textId="77777777" w:rsidR="00EF5235" w:rsidRPr="00370398" w:rsidRDefault="00EF5235" w:rsidP="002B1258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t>Repeatability</w:t>
      </w:r>
    </w:p>
    <w:p w14:paraId="52F3717D" w14:textId="77777777" w:rsidR="009C59E6" w:rsidRPr="00370398" w:rsidRDefault="009C59E6" w:rsidP="002B1258">
      <w:pPr>
        <w:pStyle w:val="BodyText"/>
        <w:ind w:left="0" w:hanging="2"/>
        <w:rPr>
          <w:rFonts w:eastAsia="Arial Narrow"/>
          <w:b/>
        </w:rPr>
      </w:pPr>
    </w:p>
    <w:p w14:paraId="52F3717E" w14:textId="77777777" w:rsidR="00EF5235" w:rsidRPr="00370398" w:rsidRDefault="00DB49E6" w:rsidP="002B1258">
      <w:pPr>
        <w:pStyle w:val="BodyText"/>
        <w:ind w:left="0" w:hanging="2"/>
      </w:pPr>
      <w:r w:rsidRPr="00370398">
        <w:t>Repeatability analysis was conducted by injecting the PSMA-1007 reference standard at four different concentrations in triplicate. The repeatability of the test was assessed by calculating the RSD for both the area under the curve and retention time.</w:t>
      </w:r>
    </w:p>
    <w:p w14:paraId="42E3AD34" w14:textId="145090C6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967C22" w:rsidRPr="00370398">
        <w:rPr>
          <w:rFonts w:eastAsia="Arial Narrow"/>
        </w:rPr>
        <w:t>5</w:t>
      </w:r>
      <w:r w:rsidRPr="00370398">
        <w:rPr>
          <w:rFonts w:eastAsia="Arial Narrow"/>
        </w:rPr>
        <w:t>: Area under curve (AUC) of PSMA-1007 for repeatability analysis.</w:t>
      </w:r>
    </w:p>
    <w:tbl>
      <w:tblPr>
        <w:tblW w:w="8215" w:type="dxa"/>
        <w:tblInd w:w="93" w:type="dxa"/>
        <w:tblLook w:val="04A0" w:firstRow="1" w:lastRow="0" w:firstColumn="1" w:lastColumn="0" w:noHBand="0" w:noVBand="1"/>
      </w:tblPr>
      <w:tblGrid>
        <w:gridCol w:w="2709"/>
        <w:gridCol w:w="1288"/>
        <w:gridCol w:w="1288"/>
        <w:gridCol w:w="1288"/>
        <w:gridCol w:w="1408"/>
        <w:gridCol w:w="234"/>
      </w:tblGrid>
      <w:tr w:rsidR="00370398" w:rsidRPr="00370398" w14:paraId="5FED7803" w14:textId="77777777" w:rsidTr="006F79D9">
        <w:trPr>
          <w:trHeight w:val="25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A0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PSMA-1007 Concentration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6F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0.03mg/ml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0F0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0.02mg/ml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E5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0.01mg/ml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F84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0.005mg/ml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14C4E0B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25EAADA8" w14:textId="77777777" w:rsidTr="006F79D9">
        <w:trPr>
          <w:trHeight w:val="254"/>
        </w:trPr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1F96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90CD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2364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EDE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1561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2B9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782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2B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41AD06C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D4B721D" w14:textId="77777777" w:rsidTr="006F79D9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4CEF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9CE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77AA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A052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776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B5C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0E61E99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0B098BA" w14:textId="77777777" w:rsidTr="006F79D9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5B31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3D95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2397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891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1596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736E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783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8E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390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01FFE2E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7FC0CE2F" w14:textId="77777777" w:rsidTr="006F79D9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E52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C70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2360.3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13F8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1581.4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F95D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780.5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DA2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390.8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7EB4F8FC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250CF44B" w14:textId="77777777" w:rsidTr="006F79D9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DDF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Standard deviation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B83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31.295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A854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15.003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BAF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3.071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6A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5.837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14:paraId="14B5FF3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409966A7" w14:textId="77777777" w:rsidTr="006F79D9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498C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587E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3D3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0.95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962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6A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1.49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</w:tcPr>
          <w:p w14:paraId="4C219D3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Cs/>
                <w:position w:val="0"/>
                <w:sz w:val="16"/>
                <w:szCs w:val="16"/>
                <w:lang w:val="en-MY" w:eastAsia="en-MY"/>
              </w:rPr>
            </w:pPr>
          </w:p>
        </w:tc>
      </w:tr>
      <w:tr w:rsidR="00370398" w:rsidRPr="00370398" w14:paraId="21B8ECAF" w14:textId="77777777" w:rsidTr="006F79D9">
        <w:trPr>
          <w:gridAfter w:val="1"/>
          <w:wAfter w:w="1080" w:type="dxa"/>
          <w:trHeight w:val="254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3F16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Repeatability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1DDD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 xml:space="preserve">     1.04 </w:t>
            </w:r>
            <w:r w:rsidRPr="00370398">
              <w:rPr>
                <w:rFonts w:cs="Arial"/>
                <w:bCs/>
                <w:position w:val="0"/>
                <w:sz w:val="20"/>
                <w:szCs w:val="20"/>
                <w:lang w:val="en-MY" w:eastAsia="en-MY"/>
              </w:rPr>
              <w:t>(</w:t>
            </w: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Should be less than 2%)</w:t>
            </w:r>
          </w:p>
        </w:tc>
      </w:tr>
    </w:tbl>
    <w:p w14:paraId="4E5CAC0C" w14:textId="77777777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  </w:t>
      </w:r>
    </w:p>
    <w:p w14:paraId="54412438" w14:textId="77777777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</w:p>
    <w:p w14:paraId="62176CB5" w14:textId="6FFB3281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442C9B" w:rsidRPr="00370398">
        <w:rPr>
          <w:rFonts w:eastAsia="Arial Narrow"/>
        </w:rPr>
        <w:t>6</w:t>
      </w:r>
      <w:r w:rsidRPr="00370398">
        <w:rPr>
          <w:rFonts w:eastAsia="Arial Narrow"/>
        </w:rPr>
        <w:t>: Retention time (</w:t>
      </w:r>
      <w:proofErr w:type="spellStart"/>
      <w:r w:rsidRPr="00370398">
        <w:rPr>
          <w:rFonts w:eastAsia="Arial Narrow"/>
        </w:rPr>
        <w:t>t</w:t>
      </w:r>
      <w:r w:rsidRPr="00370398">
        <w:rPr>
          <w:rFonts w:eastAsia="Arial Narrow"/>
          <w:vertAlign w:val="subscript"/>
        </w:rPr>
        <w:t>R</w:t>
      </w:r>
      <w:proofErr w:type="spellEnd"/>
      <w:r w:rsidRPr="00370398">
        <w:rPr>
          <w:rFonts w:eastAsia="Arial Narrow"/>
        </w:rPr>
        <w:t>) of PSMA-1007 for repeatability analysis.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850"/>
        <w:gridCol w:w="1321"/>
        <w:gridCol w:w="1288"/>
        <w:gridCol w:w="1288"/>
        <w:gridCol w:w="1408"/>
        <w:gridCol w:w="224"/>
      </w:tblGrid>
      <w:tr w:rsidR="00370398" w:rsidRPr="00370398" w14:paraId="70A9F4EE" w14:textId="77777777" w:rsidTr="006F79D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8F7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PSMA-1007 Concentration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41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0.03mg/ml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64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0.02mg/ml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0B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0.01mg/ml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37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0.005mg/ml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0BFFD56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76185EB8" w14:textId="77777777" w:rsidTr="006F79D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309E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3F57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BB3F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C76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2ED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490" w:type="dxa"/>
            <w:tcBorders>
              <w:left w:val="single" w:sz="4" w:space="0" w:color="auto"/>
              <w:right w:val="nil"/>
            </w:tcBorders>
          </w:tcPr>
          <w:p w14:paraId="703681A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158D1EA3" w14:textId="77777777" w:rsidTr="006F79D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B9A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CD21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E24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D245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40A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right w:val="nil"/>
            </w:tcBorders>
          </w:tcPr>
          <w:p w14:paraId="40A503BC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343AF7BE" w14:textId="77777777" w:rsidTr="006F79D9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6CC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8A2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956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0A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DC8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131553C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06FC983E" w14:textId="77777777" w:rsidTr="006F79D9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F0BB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4CB4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6.257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999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6.250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F130A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6.263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258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6.257</w:t>
            </w:r>
          </w:p>
        </w:tc>
        <w:tc>
          <w:tcPr>
            <w:tcW w:w="490" w:type="dxa"/>
            <w:tcBorders>
              <w:left w:val="single" w:sz="4" w:space="0" w:color="auto"/>
              <w:right w:val="nil"/>
            </w:tcBorders>
          </w:tcPr>
          <w:p w14:paraId="6C8D622F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C9ABCA2" w14:textId="77777777" w:rsidTr="006F79D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93D0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Standard deviation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7A385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8D49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BCA8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96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0.009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right w:val="nil"/>
            </w:tcBorders>
          </w:tcPr>
          <w:p w14:paraId="32F78449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</w:p>
        </w:tc>
      </w:tr>
      <w:tr w:rsidR="00370398" w:rsidRPr="00370398" w14:paraId="5EFA85AA" w14:textId="77777777" w:rsidTr="006F79D9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841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E6BA0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9EBB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D625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D53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91BC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Cs/>
                <w:position w:val="0"/>
                <w:sz w:val="16"/>
                <w:szCs w:val="16"/>
                <w:lang w:val="en-MY" w:eastAsia="en-MY"/>
              </w:rPr>
            </w:pPr>
          </w:p>
        </w:tc>
      </w:tr>
      <w:tr w:rsidR="00ED1CE2" w:rsidRPr="00370398" w14:paraId="09BCDB01" w14:textId="77777777" w:rsidTr="006F79D9">
        <w:trPr>
          <w:gridAfter w:val="1"/>
          <w:wAfter w:w="490" w:type="dxa"/>
          <w:trHeight w:val="255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C0B2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Repeatability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B42C1" w14:textId="77777777" w:rsidR="00ED1CE2" w:rsidRPr="00370398" w:rsidRDefault="00ED1CE2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bCs/>
                <w:position w:val="0"/>
                <w:sz w:val="20"/>
                <w:szCs w:val="20"/>
                <w:lang w:val="en-MY" w:eastAsia="en-MY"/>
              </w:rPr>
              <w:t xml:space="preserve">     0.11</w:t>
            </w: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 xml:space="preserve"> (Should be less than 2%)</w:t>
            </w:r>
          </w:p>
        </w:tc>
      </w:tr>
    </w:tbl>
    <w:p w14:paraId="2D2A76A1" w14:textId="77777777" w:rsidR="00ED1CE2" w:rsidRPr="00370398" w:rsidRDefault="00ED1CE2" w:rsidP="002B1258">
      <w:pPr>
        <w:pStyle w:val="BodyText"/>
        <w:ind w:left="0" w:hanging="2"/>
        <w:rPr>
          <w:rFonts w:eastAsia="Arial Narrow"/>
          <w:b/>
        </w:rPr>
      </w:pPr>
    </w:p>
    <w:p w14:paraId="52F3717F" w14:textId="77777777" w:rsidR="00DB49E6" w:rsidRPr="00370398" w:rsidRDefault="00DB49E6" w:rsidP="002B1258">
      <w:pPr>
        <w:pStyle w:val="BodyText"/>
        <w:ind w:left="0" w:hanging="2"/>
        <w:rPr>
          <w:rFonts w:eastAsia="Arial Narrow"/>
        </w:rPr>
      </w:pPr>
    </w:p>
    <w:p w14:paraId="28C9E31E" w14:textId="77777777" w:rsidR="00ED1CE2" w:rsidRDefault="00ED1CE2" w:rsidP="00736E72">
      <w:pPr>
        <w:pStyle w:val="BodyText"/>
        <w:ind w:leftChars="0" w:left="0" w:firstLineChars="0" w:firstLine="0"/>
        <w:rPr>
          <w:rFonts w:eastAsia="Arial Narrow"/>
        </w:rPr>
      </w:pPr>
    </w:p>
    <w:p w14:paraId="2C8DA2AE" w14:textId="77777777" w:rsidR="00736E72" w:rsidRDefault="00736E72" w:rsidP="00736E72">
      <w:pPr>
        <w:pStyle w:val="BodyText"/>
        <w:ind w:leftChars="0" w:left="0" w:firstLineChars="0" w:firstLine="0"/>
        <w:rPr>
          <w:rFonts w:eastAsia="Arial Narrow"/>
        </w:rPr>
      </w:pPr>
    </w:p>
    <w:p w14:paraId="27D34A8C" w14:textId="77777777" w:rsidR="00736E72" w:rsidRDefault="00736E72" w:rsidP="00736E72">
      <w:pPr>
        <w:pStyle w:val="BodyText"/>
        <w:ind w:leftChars="0" w:left="0" w:firstLineChars="0" w:firstLine="0"/>
        <w:rPr>
          <w:rFonts w:eastAsia="Arial Narrow"/>
        </w:rPr>
      </w:pPr>
    </w:p>
    <w:p w14:paraId="70D04C78" w14:textId="77777777" w:rsidR="00736E72" w:rsidRPr="00370398" w:rsidRDefault="00736E72" w:rsidP="00736E72">
      <w:pPr>
        <w:pStyle w:val="BodyText"/>
        <w:ind w:leftChars="0" w:left="0" w:firstLineChars="0" w:firstLine="0"/>
        <w:rPr>
          <w:rFonts w:eastAsia="Arial Narrow"/>
        </w:rPr>
      </w:pPr>
    </w:p>
    <w:p w14:paraId="52F37180" w14:textId="77777777" w:rsidR="00913990" w:rsidRPr="00370398" w:rsidRDefault="003642C5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  <w:b/>
        </w:rPr>
        <w:lastRenderedPageBreak/>
        <w:t>Limit of Detection (LOD) and Limit of Quantification (LOQ)</w:t>
      </w:r>
    </w:p>
    <w:p w14:paraId="30BEE1AE" w14:textId="77777777" w:rsidR="00ED1CE2" w:rsidRPr="00370398" w:rsidRDefault="00ED1CE2" w:rsidP="00736E72">
      <w:pPr>
        <w:pStyle w:val="BodyText"/>
        <w:ind w:leftChars="0" w:left="0" w:firstLineChars="0" w:firstLine="0"/>
        <w:rPr>
          <w:rFonts w:eastAsia="Arial Narrow"/>
        </w:rPr>
      </w:pPr>
    </w:p>
    <w:p w14:paraId="014D76A2" w14:textId="01B4096B" w:rsidR="00ED1CE2" w:rsidRPr="00370398" w:rsidRDefault="00ED1CE2" w:rsidP="00736E72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</w:t>
      </w:r>
      <w:r w:rsidR="00442C9B" w:rsidRPr="00370398">
        <w:rPr>
          <w:rFonts w:eastAsia="Arial Narrow"/>
        </w:rPr>
        <w:t>7</w:t>
      </w:r>
      <w:r w:rsidRPr="00370398">
        <w:rPr>
          <w:rFonts w:eastAsia="Arial Narrow"/>
        </w:rPr>
        <w:t>: Limit of Detection (LOD) and Limit of Quantification (LOQ) for PSMA-1007, OHPSMA-1007 trifluoroacetate salt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11"/>
      </w:tblGrid>
      <w:tr w:rsidR="00370398" w:rsidRPr="00370398" w14:paraId="7BF75976" w14:textId="77777777" w:rsidTr="006F79D9">
        <w:trPr>
          <w:trHeight w:val="428"/>
        </w:trPr>
        <w:tc>
          <w:tcPr>
            <w:tcW w:w="2111" w:type="dxa"/>
            <w:shd w:val="clear" w:color="auto" w:fill="A6A6A6" w:themeFill="background1" w:themeFillShade="A6"/>
          </w:tcPr>
          <w:p w14:paraId="13CCCF7D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  <w:tc>
          <w:tcPr>
            <w:tcW w:w="2111" w:type="dxa"/>
          </w:tcPr>
          <w:p w14:paraId="3340AF73" w14:textId="0EB0E876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LOD</w:t>
            </w:r>
            <w:r w:rsidR="00563581" w:rsidRPr="00370398">
              <w:rPr>
                <w:rFonts w:eastAsia="Arial Narrow"/>
                <w:b/>
              </w:rPr>
              <w:t xml:space="preserve"> (mg/ml)</w:t>
            </w:r>
          </w:p>
        </w:tc>
        <w:tc>
          <w:tcPr>
            <w:tcW w:w="2111" w:type="dxa"/>
          </w:tcPr>
          <w:p w14:paraId="5397A73B" w14:textId="4A2D5865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LOQ</w:t>
            </w:r>
            <w:r w:rsidR="00563581" w:rsidRPr="00370398">
              <w:rPr>
                <w:rFonts w:eastAsia="Arial Narrow"/>
                <w:b/>
              </w:rPr>
              <w:t xml:space="preserve"> (mg/ml)</w:t>
            </w:r>
          </w:p>
        </w:tc>
      </w:tr>
      <w:tr w:rsidR="00370398" w:rsidRPr="00370398" w14:paraId="397DED31" w14:textId="77777777" w:rsidTr="006F79D9">
        <w:trPr>
          <w:trHeight w:val="417"/>
        </w:trPr>
        <w:tc>
          <w:tcPr>
            <w:tcW w:w="2111" w:type="dxa"/>
          </w:tcPr>
          <w:p w14:paraId="5B2FEFEA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PSMA-1007</w:t>
            </w:r>
          </w:p>
        </w:tc>
        <w:tc>
          <w:tcPr>
            <w:tcW w:w="2111" w:type="dxa"/>
          </w:tcPr>
          <w:p w14:paraId="5913BB26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0.00065</w:t>
            </w:r>
          </w:p>
        </w:tc>
        <w:tc>
          <w:tcPr>
            <w:tcW w:w="2111" w:type="dxa"/>
          </w:tcPr>
          <w:p w14:paraId="64FF8428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0.00198</w:t>
            </w:r>
          </w:p>
        </w:tc>
      </w:tr>
      <w:tr w:rsidR="00370398" w:rsidRPr="00370398" w14:paraId="27D2DCE1" w14:textId="77777777" w:rsidTr="006F79D9">
        <w:trPr>
          <w:trHeight w:val="428"/>
        </w:trPr>
        <w:tc>
          <w:tcPr>
            <w:tcW w:w="2111" w:type="dxa"/>
          </w:tcPr>
          <w:p w14:paraId="2F01318A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OHPSMA-1007</w:t>
            </w:r>
          </w:p>
        </w:tc>
        <w:tc>
          <w:tcPr>
            <w:tcW w:w="2111" w:type="dxa"/>
          </w:tcPr>
          <w:p w14:paraId="5BD65293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0.00377</w:t>
            </w:r>
          </w:p>
        </w:tc>
        <w:tc>
          <w:tcPr>
            <w:tcW w:w="2111" w:type="dxa"/>
          </w:tcPr>
          <w:p w14:paraId="482AAA44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0.01143</w:t>
            </w:r>
          </w:p>
        </w:tc>
      </w:tr>
      <w:tr w:rsidR="00ED1CE2" w:rsidRPr="00370398" w14:paraId="77909FC4" w14:textId="77777777" w:rsidTr="006F79D9">
        <w:trPr>
          <w:trHeight w:val="428"/>
        </w:trPr>
        <w:tc>
          <w:tcPr>
            <w:tcW w:w="2111" w:type="dxa"/>
          </w:tcPr>
          <w:p w14:paraId="5F7065F9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Trifluoroacetate salt</w:t>
            </w:r>
          </w:p>
        </w:tc>
        <w:tc>
          <w:tcPr>
            <w:tcW w:w="2111" w:type="dxa"/>
          </w:tcPr>
          <w:p w14:paraId="7604F12C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0.00331</w:t>
            </w:r>
          </w:p>
        </w:tc>
        <w:tc>
          <w:tcPr>
            <w:tcW w:w="2111" w:type="dxa"/>
          </w:tcPr>
          <w:p w14:paraId="36A51E85" w14:textId="77777777" w:rsidR="00ED1CE2" w:rsidRPr="00370398" w:rsidRDefault="00ED1CE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0.01004</w:t>
            </w:r>
          </w:p>
        </w:tc>
      </w:tr>
    </w:tbl>
    <w:p w14:paraId="024E1F0A" w14:textId="77777777" w:rsidR="00ED1CE2" w:rsidRPr="00370398" w:rsidRDefault="00ED1CE2" w:rsidP="002B1258">
      <w:pPr>
        <w:pStyle w:val="BodyText"/>
        <w:ind w:left="0" w:hanging="2"/>
        <w:rPr>
          <w:rFonts w:eastAsia="Arial Narrow"/>
        </w:rPr>
      </w:pPr>
    </w:p>
    <w:p w14:paraId="3E8C61F6" w14:textId="239EACC1" w:rsidR="00CF27A3" w:rsidRPr="00370398" w:rsidRDefault="00CF27A3" w:rsidP="002C6413">
      <w:pPr>
        <w:pStyle w:val="BodyText"/>
        <w:ind w:leftChars="0" w:left="0" w:firstLineChars="0" w:firstLine="0"/>
        <w:rPr>
          <w:rFonts w:eastAsia="Arial Narrow"/>
        </w:rPr>
      </w:pPr>
    </w:p>
    <w:p w14:paraId="52F3718A" w14:textId="1A1F51A8" w:rsidR="0046392D" w:rsidRPr="00370398" w:rsidRDefault="0046392D" w:rsidP="002B1258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t>Specificity test</w:t>
      </w:r>
    </w:p>
    <w:p w14:paraId="52F3718B" w14:textId="77777777" w:rsidR="004B1003" w:rsidRPr="00370398" w:rsidRDefault="004B1003" w:rsidP="002B1258">
      <w:pPr>
        <w:pStyle w:val="BodyText"/>
        <w:ind w:left="0" w:hanging="2"/>
        <w:rPr>
          <w:rFonts w:eastAsia="Arial Narrow"/>
          <w:b/>
        </w:rPr>
      </w:pPr>
    </w:p>
    <w:p w14:paraId="52F3718C" w14:textId="6DDC66A3" w:rsidR="00C40C45" w:rsidRDefault="002C6413" w:rsidP="00A55902">
      <w:pPr>
        <w:ind w:leftChars="0" w:left="-2" w:firstLineChars="0" w:firstLine="0"/>
      </w:pPr>
      <w:r w:rsidRPr="00370398">
        <w:t>For</w:t>
      </w:r>
      <w:r w:rsidR="00C40C45" w:rsidRPr="00370398">
        <w:t xml:space="preserve"> the specificity of </w:t>
      </w:r>
      <w:proofErr w:type="spellStart"/>
      <w:r w:rsidR="00C40C45" w:rsidRPr="00370398">
        <w:t>rHPLC</w:t>
      </w:r>
      <w:proofErr w:type="spellEnd"/>
      <w:r w:rsidR="00C40C45" w:rsidRPr="00370398">
        <w:t>, 20 µL of each reference standard; 0.01 mg/mL PSMA-</w:t>
      </w:r>
      <w:proofErr w:type="gramStart"/>
      <w:r w:rsidR="00C40C45" w:rsidRPr="00370398">
        <w:t>1007,  0.05</w:t>
      </w:r>
      <w:proofErr w:type="gramEnd"/>
      <w:r w:rsidR="00C40C45" w:rsidRPr="00370398">
        <w:t xml:space="preserve"> mg/mL OHPSMA-1007, 0.05 mg/mL Trifluoroacetate </w:t>
      </w:r>
      <w:proofErr w:type="gramStart"/>
      <w:r w:rsidR="00C40C45" w:rsidRPr="00370398">
        <w:t>salt,  and</w:t>
      </w:r>
      <w:proofErr w:type="gramEnd"/>
      <w:r w:rsidR="00C40C45" w:rsidRPr="00370398">
        <w:t xml:space="preserve"> 20 µL of the final product [18</w:t>
      </w:r>
      <w:proofErr w:type="gramStart"/>
      <w:r w:rsidR="00C40C45" w:rsidRPr="00370398">
        <w:t>F]PSMA</w:t>
      </w:r>
      <w:proofErr w:type="gramEnd"/>
      <w:r w:rsidR="00C40C45" w:rsidRPr="00370398">
        <w:t xml:space="preserve">-1007 were injected </w:t>
      </w:r>
      <w:proofErr w:type="gramStart"/>
      <w:r w:rsidR="00C40C45" w:rsidRPr="00370398">
        <w:t>in</w:t>
      </w:r>
      <w:proofErr w:type="gramEnd"/>
      <w:r w:rsidR="00C40C45" w:rsidRPr="00370398">
        <w:t xml:space="preserve"> triplicate. The retention times of all solutions were then calculated and compared</w:t>
      </w:r>
      <w:r w:rsidR="00736E72">
        <w:t>.</w:t>
      </w:r>
    </w:p>
    <w:p w14:paraId="16EA8451" w14:textId="77777777" w:rsidR="00736E72" w:rsidRPr="00A55902" w:rsidRDefault="00736E72" w:rsidP="00A55902">
      <w:pPr>
        <w:ind w:leftChars="0" w:left="-2" w:firstLineChars="0" w:firstLine="0"/>
      </w:pPr>
    </w:p>
    <w:p w14:paraId="23C7124D" w14:textId="4CCB9EC9" w:rsidR="000F106B" w:rsidRPr="00370398" w:rsidRDefault="000F106B" w:rsidP="002B1258">
      <w:pPr>
        <w:pStyle w:val="BodyText"/>
        <w:ind w:left="0" w:hanging="2"/>
        <w:rPr>
          <w:rFonts w:cs="Arial"/>
          <w:position w:val="0"/>
          <w:lang w:eastAsia="en-MY"/>
        </w:rPr>
      </w:pPr>
      <w:r w:rsidRPr="00370398">
        <w:rPr>
          <w:rFonts w:eastAsia="Arial Narrow"/>
        </w:rPr>
        <w:t xml:space="preserve">Table </w:t>
      </w:r>
      <w:r w:rsidR="002C6413" w:rsidRPr="00370398">
        <w:rPr>
          <w:rFonts w:eastAsia="Arial Narrow"/>
        </w:rPr>
        <w:t>8</w:t>
      </w:r>
      <w:r w:rsidRPr="00370398">
        <w:rPr>
          <w:rFonts w:eastAsia="Arial Narrow"/>
        </w:rPr>
        <w:t xml:space="preserve">: Specificity test of the reference standard PSMA-1007, OHPSMA-1007, Trifluoroacetate salt and final product </w:t>
      </w:r>
      <w:r w:rsidRPr="00370398">
        <w:rPr>
          <w:rFonts w:cs="Arial"/>
          <w:position w:val="0"/>
          <w:lang w:eastAsia="en-MY"/>
        </w:rPr>
        <w:t>[F-</w:t>
      </w:r>
      <w:proofErr w:type="gramStart"/>
      <w:r w:rsidRPr="00370398">
        <w:rPr>
          <w:rFonts w:cs="Arial"/>
          <w:position w:val="0"/>
          <w:lang w:eastAsia="en-MY"/>
        </w:rPr>
        <w:t>18]PSMA</w:t>
      </w:r>
      <w:proofErr w:type="gramEnd"/>
      <w:r w:rsidRPr="00370398">
        <w:rPr>
          <w:rFonts w:cs="Arial"/>
          <w:position w:val="0"/>
          <w:lang w:eastAsia="en-MY"/>
        </w:rPr>
        <w:t xml:space="preserve">-1007. </w:t>
      </w:r>
    </w:p>
    <w:p w14:paraId="2715E56C" w14:textId="77777777" w:rsidR="000F106B" w:rsidRPr="00370398" w:rsidRDefault="000F106B" w:rsidP="002B1258">
      <w:pPr>
        <w:pStyle w:val="BodyText"/>
        <w:ind w:left="0" w:hanging="2"/>
        <w:rPr>
          <w:rFonts w:eastAsia="Arial Narrow"/>
        </w:rPr>
      </w:pPr>
    </w:p>
    <w:tbl>
      <w:tblPr>
        <w:tblW w:w="87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418"/>
        <w:gridCol w:w="1649"/>
        <w:gridCol w:w="1894"/>
        <w:gridCol w:w="1887"/>
      </w:tblGrid>
      <w:tr w:rsidR="00370398" w:rsidRPr="00370398" w14:paraId="34443828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0E0F24B9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Retention time (</w:t>
            </w:r>
            <w:proofErr w:type="spellStart"/>
            <w:r w:rsidRPr="00370398">
              <w:rPr>
                <w:rFonts w:cs="Arial"/>
                <w:b/>
                <w:position w:val="0"/>
                <w:lang w:val="en-MY" w:eastAsia="en-MY"/>
              </w:rPr>
              <w:t>t</w:t>
            </w:r>
            <w:r w:rsidRPr="00370398">
              <w:rPr>
                <w:rFonts w:cs="Arial"/>
                <w:b/>
                <w:position w:val="0"/>
                <w:vertAlign w:val="subscript"/>
                <w:lang w:val="en-MY" w:eastAsia="en-MY"/>
              </w:rPr>
              <w:t>R</w:t>
            </w:r>
            <w:proofErr w:type="spellEnd"/>
            <w:r w:rsidRPr="00370398">
              <w:rPr>
                <w:rFonts w:cs="Arial"/>
                <w:b/>
                <w:position w:val="0"/>
                <w:lang w:val="en-MY" w:eastAsia="en-MY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0816E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PSMA-1007</w:t>
            </w:r>
          </w:p>
        </w:tc>
        <w:tc>
          <w:tcPr>
            <w:tcW w:w="1664" w:type="dxa"/>
          </w:tcPr>
          <w:p w14:paraId="0C7249F5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</w:p>
          <w:p w14:paraId="178BEC30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OHPSMA-1007</w:t>
            </w:r>
          </w:p>
        </w:tc>
        <w:tc>
          <w:tcPr>
            <w:tcW w:w="1879" w:type="dxa"/>
          </w:tcPr>
          <w:p w14:paraId="6DF0990B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eastAsia="en-MY"/>
              </w:rPr>
            </w:pPr>
            <w:r w:rsidRPr="00370398">
              <w:rPr>
                <w:rFonts w:cs="Arial"/>
                <w:b/>
                <w:position w:val="0"/>
                <w:lang w:val="en-MY" w:eastAsia="en-MY"/>
              </w:rPr>
              <w:t>Trifluoroacetate salt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422C3042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lang w:eastAsia="en-MY"/>
              </w:rPr>
              <w:t>[F-</w:t>
            </w:r>
            <w:proofErr w:type="gramStart"/>
            <w:r w:rsidRPr="00370398">
              <w:rPr>
                <w:rFonts w:cs="Arial"/>
                <w:b/>
                <w:position w:val="0"/>
                <w:lang w:eastAsia="en-MY"/>
              </w:rPr>
              <w:t>18]PSMA</w:t>
            </w:r>
            <w:proofErr w:type="gramEnd"/>
            <w:r w:rsidRPr="00370398">
              <w:rPr>
                <w:rFonts w:cs="Arial"/>
                <w:b/>
                <w:position w:val="0"/>
                <w:lang w:eastAsia="en-MY"/>
              </w:rPr>
              <w:t>-1007</w:t>
            </w:r>
          </w:p>
        </w:tc>
      </w:tr>
      <w:tr w:rsidR="00370398" w:rsidRPr="00370398" w14:paraId="3B099AA0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382B2AC0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3E7E1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1664" w:type="dxa"/>
            <w:vAlign w:val="bottom"/>
          </w:tcPr>
          <w:p w14:paraId="75B3A4A9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4.8</w:t>
            </w:r>
          </w:p>
        </w:tc>
        <w:tc>
          <w:tcPr>
            <w:tcW w:w="1879" w:type="dxa"/>
            <w:vAlign w:val="bottom"/>
          </w:tcPr>
          <w:p w14:paraId="07C0E667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4.40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E53AC67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6.33</w:t>
            </w:r>
          </w:p>
        </w:tc>
      </w:tr>
      <w:tr w:rsidR="00370398" w:rsidRPr="00370398" w14:paraId="623D939F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7A7DB03B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ECBE8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6.25</w:t>
            </w:r>
          </w:p>
        </w:tc>
        <w:tc>
          <w:tcPr>
            <w:tcW w:w="1664" w:type="dxa"/>
            <w:vAlign w:val="bottom"/>
          </w:tcPr>
          <w:p w14:paraId="78416283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4.830</w:t>
            </w:r>
          </w:p>
        </w:tc>
        <w:tc>
          <w:tcPr>
            <w:tcW w:w="1879" w:type="dxa"/>
            <w:vAlign w:val="bottom"/>
          </w:tcPr>
          <w:p w14:paraId="7F6D369E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4.40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BD5557E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6.33</w:t>
            </w:r>
          </w:p>
        </w:tc>
      </w:tr>
      <w:tr w:rsidR="00370398" w:rsidRPr="00370398" w14:paraId="1E3A213F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F551439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Run #3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5CA44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1664" w:type="dxa"/>
            <w:vAlign w:val="bottom"/>
          </w:tcPr>
          <w:p w14:paraId="495D5A69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4.800</w:t>
            </w:r>
          </w:p>
        </w:tc>
        <w:tc>
          <w:tcPr>
            <w:tcW w:w="1879" w:type="dxa"/>
            <w:vAlign w:val="bottom"/>
          </w:tcPr>
          <w:p w14:paraId="1D624178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sz w:val="20"/>
                <w:szCs w:val="20"/>
              </w:rPr>
            </w:pPr>
            <w:r w:rsidRPr="00370398">
              <w:rPr>
                <w:rFonts w:cs="Arial"/>
                <w:sz w:val="20"/>
                <w:szCs w:val="20"/>
              </w:rPr>
              <w:t>4.40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5D764B78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position w:val="0"/>
                <w:sz w:val="20"/>
                <w:szCs w:val="20"/>
                <w:lang w:val="en-MY" w:eastAsia="en-MY"/>
              </w:rPr>
              <w:t>6.33</w:t>
            </w:r>
          </w:p>
        </w:tc>
      </w:tr>
      <w:tr w:rsidR="00370398" w:rsidRPr="00370398" w14:paraId="18A09180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371A41E2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Average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E4655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6.26</w:t>
            </w:r>
          </w:p>
        </w:tc>
        <w:tc>
          <w:tcPr>
            <w:tcW w:w="1664" w:type="dxa"/>
            <w:vAlign w:val="bottom"/>
          </w:tcPr>
          <w:p w14:paraId="0CBCEC72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4.810</w:t>
            </w:r>
          </w:p>
        </w:tc>
        <w:tc>
          <w:tcPr>
            <w:tcW w:w="1879" w:type="dxa"/>
            <w:vAlign w:val="bottom"/>
          </w:tcPr>
          <w:p w14:paraId="46C7826B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4.400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6EE314C4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6.33</w:t>
            </w:r>
          </w:p>
        </w:tc>
      </w:tr>
      <w:tr w:rsidR="00370398" w:rsidRPr="00370398" w14:paraId="74F0187C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2FA9D5C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Standard Deviation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3C5A9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0.01</w:t>
            </w:r>
          </w:p>
        </w:tc>
        <w:tc>
          <w:tcPr>
            <w:tcW w:w="1664" w:type="dxa"/>
            <w:vAlign w:val="bottom"/>
          </w:tcPr>
          <w:p w14:paraId="4B72CC2B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0.014</w:t>
            </w:r>
          </w:p>
        </w:tc>
        <w:tc>
          <w:tcPr>
            <w:tcW w:w="1879" w:type="dxa"/>
            <w:vAlign w:val="bottom"/>
          </w:tcPr>
          <w:p w14:paraId="0E0F7D6B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34B25A7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0.00</w:t>
            </w:r>
          </w:p>
        </w:tc>
      </w:tr>
      <w:tr w:rsidR="00A55902" w:rsidRPr="00370398" w14:paraId="5C41AEAE" w14:textId="77777777" w:rsidTr="006F79D9">
        <w:trPr>
          <w:trHeight w:val="264"/>
        </w:trPr>
        <w:tc>
          <w:tcPr>
            <w:tcW w:w="1858" w:type="dxa"/>
            <w:shd w:val="clear" w:color="auto" w:fill="auto"/>
            <w:noWrap/>
            <w:vAlign w:val="bottom"/>
          </w:tcPr>
          <w:p w14:paraId="39E83C52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RSD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5ED628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1664" w:type="dxa"/>
            <w:vAlign w:val="bottom"/>
          </w:tcPr>
          <w:p w14:paraId="5A4A7121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0.29</w:t>
            </w:r>
          </w:p>
        </w:tc>
        <w:tc>
          <w:tcPr>
            <w:tcW w:w="1879" w:type="dxa"/>
            <w:vAlign w:val="bottom"/>
          </w:tcPr>
          <w:p w14:paraId="74E2EC75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bCs/>
                <w:sz w:val="20"/>
                <w:szCs w:val="20"/>
              </w:rPr>
            </w:pPr>
            <w:r w:rsidRPr="00370398">
              <w:rPr>
                <w:rFonts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87" w:type="dxa"/>
            <w:shd w:val="clear" w:color="auto" w:fill="auto"/>
            <w:noWrap/>
            <w:vAlign w:val="bottom"/>
          </w:tcPr>
          <w:p w14:paraId="40962CCE" w14:textId="77777777" w:rsidR="000F106B" w:rsidRPr="00370398" w:rsidRDefault="000F106B" w:rsidP="002B1258">
            <w:pPr>
              <w:pStyle w:val="BodyText"/>
              <w:ind w:left="0" w:hanging="2"/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</w:pPr>
            <w:r w:rsidRPr="00370398">
              <w:rPr>
                <w:rFonts w:cs="Arial"/>
                <w:b/>
                <w:position w:val="0"/>
                <w:sz w:val="20"/>
                <w:szCs w:val="20"/>
                <w:lang w:val="en-MY" w:eastAsia="en-MY"/>
              </w:rPr>
              <w:t>0.00</w:t>
            </w:r>
          </w:p>
        </w:tc>
      </w:tr>
    </w:tbl>
    <w:p w14:paraId="0869448C" w14:textId="77777777" w:rsidR="000F106B" w:rsidRPr="00370398" w:rsidRDefault="000F106B" w:rsidP="00A55902">
      <w:pPr>
        <w:pStyle w:val="BodyText"/>
        <w:ind w:leftChars="0" w:left="0" w:firstLineChars="0" w:firstLine="0"/>
        <w:rPr>
          <w:rFonts w:eastAsia="Arial Narrow"/>
          <w:b/>
        </w:rPr>
      </w:pPr>
    </w:p>
    <w:p w14:paraId="030A3A2B" w14:textId="77777777" w:rsidR="000F106B" w:rsidRDefault="000F106B" w:rsidP="002B1258">
      <w:pPr>
        <w:pStyle w:val="BodyText"/>
        <w:ind w:left="0" w:hanging="2"/>
        <w:rPr>
          <w:rFonts w:eastAsia="Arial Narrow"/>
          <w:b/>
        </w:rPr>
      </w:pPr>
    </w:p>
    <w:p w14:paraId="41D962B8" w14:textId="77777777" w:rsidR="00736E72" w:rsidRDefault="00736E72" w:rsidP="002B1258">
      <w:pPr>
        <w:pStyle w:val="BodyText"/>
        <w:ind w:left="0" w:hanging="2"/>
        <w:rPr>
          <w:rFonts w:eastAsia="Arial Narrow"/>
          <w:b/>
        </w:rPr>
      </w:pPr>
    </w:p>
    <w:p w14:paraId="45CCB16E" w14:textId="77777777" w:rsidR="00736E72" w:rsidRDefault="00736E72" w:rsidP="002B1258">
      <w:pPr>
        <w:pStyle w:val="BodyText"/>
        <w:ind w:left="0" w:hanging="2"/>
        <w:rPr>
          <w:rFonts w:eastAsia="Arial Narrow"/>
          <w:b/>
        </w:rPr>
      </w:pPr>
    </w:p>
    <w:p w14:paraId="4B457F1A" w14:textId="77777777" w:rsidR="00736E72" w:rsidRPr="00370398" w:rsidRDefault="00736E72" w:rsidP="002B1258">
      <w:pPr>
        <w:pStyle w:val="BodyText"/>
        <w:ind w:left="0" w:hanging="2"/>
        <w:rPr>
          <w:rFonts w:eastAsia="Arial Narrow"/>
          <w:b/>
        </w:rPr>
      </w:pPr>
    </w:p>
    <w:p w14:paraId="52F3718E" w14:textId="77777777" w:rsidR="00304919" w:rsidRPr="00370398" w:rsidRDefault="00304919" w:rsidP="002B1258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lastRenderedPageBreak/>
        <w:t>System Suitability Testing (SST) of HPLC</w:t>
      </w:r>
    </w:p>
    <w:p w14:paraId="52F3718F" w14:textId="77777777" w:rsidR="009C59E6" w:rsidRPr="00370398" w:rsidRDefault="009C59E6" w:rsidP="002B1258">
      <w:pPr>
        <w:pStyle w:val="BodyText"/>
        <w:ind w:left="0" w:hanging="2"/>
        <w:rPr>
          <w:rFonts w:eastAsia="Arial Narrow"/>
          <w:b/>
        </w:rPr>
      </w:pPr>
    </w:p>
    <w:p w14:paraId="52F37191" w14:textId="7EDBB0F4" w:rsidR="003A75F2" w:rsidRPr="00370398" w:rsidRDefault="00CD7113" w:rsidP="00CD7113">
      <w:pPr>
        <w:pStyle w:val="BodyText"/>
        <w:ind w:left="0" w:hanging="2"/>
        <w:jc w:val="both"/>
        <w:rPr>
          <w:rFonts w:eastAsia="Arial Narrow"/>
          <w:b/>
        </w:rPr>
      </w:pPr>
      <w:r w:rsidRPr="00CD7113">
        <w:rPr>
          <w:rFonts w:eastAsia="Arial Narrow"/>
        </w:rPr>
        <w:t xml:space="preserve">The system suitability test (SST) is widely used in laboratories to verify that the complete analytical system is appropriate for its intended application. For </w:t>
      </w:r>
      <w:proofErr w:type="spellStart"/>
      <w:r w:rsidRPr="00CD7113">
        <w:rPr>
          <w:rFonts w:eastAsia="Arial Narrow"/>
        </w:rPr>
        <w:t>rHPLC</w:t>
      </w:r>
      <w:proofErr w:type="spellEnd"/>
      <w:r w:rsidRPr="00CD7113">
        <w:rPr>
          <w:rFonts w:eastAsia="Arial Narrow"/>
        </w:rPr>
        <w:t>, the SST ensures the system’s suitability and effectiveness before use. For [F-</w:t>
      </w:r>
      <w:proofErr w:type="gramStart"/>
      <w:r w:rsidRPr="00CD7113">
        <w:rPr>
          <w:rFonts w:eastAsia="Arial Narrow"/>
        </w:rPr>
        <w:t>18]PSMA</w:t>
      </w:r>
      <w:proofErr w:type="gramEnd"/>
      <w:r w:rsidRPr="00CD7113">
        <w:rPr>
          <w:rFonts w:eastAsia="Arial Narrow"/>
        </w:rPr>
        <w:t>-1007, as per the European Pharmacopoeia, the SST was performed by measuring the resolution between two peaks corresponding to the impurities defluorotrimethylaminium-PSMA-1007 trifluoroacetate (trifluoroacetate salt) and defluorohydroxy-PSMA-1007 (OHPSMA-1007). The required minimum resolution between these peaks is 2. Based on three injections of the mixture, the resolutions obtained were 3.05, 4.01, and 3.80, respectively.</w:t>
      </w:r>
    </w:p>
    <w:p w14:paraId="52F37198" w14:textId="4B6AA072" w:rsidR="00E03D4F" w:rsidRPr="00370398" w:rsidRDefault="003A75F2" w:rsidP="00A16B7D">
      <w:pPr>
        <w:pStyle w:val="BodyText"/>
        <w:ind w:left="0" w:hanging="2"/>
        <w:rPr>
          <w:rFonts w:eastAsia="Arial Narrow"/>
          <w:b/>
        </w:rPr>
      </w:pPr>
      <w:r w:rsidRPr="00370398">
        <w:rPr>
          <w:rFonts w:eastAsia="Arial Narrow"/>
          <w:b/>
        </w:rPr>
        <w:t xml:space="preserve">Results </w:t>
      </w:r>
      <w:r w:rsidR="001627AB" w:rsidRPr="00370398">
        <w:rPr>
          <w:rFonts w:eastAsia="Arial Narrow"/>
          <w:b/>
        </w:rPr>
        <w:t>summary</w:t>
      </w:r>
      <w:bookmarkStart w:id="0" w:name="bookmark=id.1fob9te" w:colFirst="0" w:colLast="0"/>
      <w:bookmarkEnd w:id="0"/>
    </w:p>
    <w:p w14:paraId="52F37199" w14:textId="77777777" w:rsidR="009C59E6" w:rsidRPr="00370398" w:rsidRDefault="009C59E6" w:rsidP="002B1258">
      <w:pPr>
        <w:pStyle w:val="BodyText"/>
        <w:ind w:left="0" w:hanging="2"/>
        <w:rPr>
          <w:rFonts w:eastAsia="Arial Narrow"/>
        </w:rPr>
      </w:pPr>
      <w:r w:rsidRPr="00370398">
        <w:t xml:space="preserve">The chemical purity test of PSMA-1007 was validated following ICH Q2 (R2) guidelines. The validation parameters, specifications, and results are summarized and presented in Table 1. All </w:t>
      </w:r>
      <w:proofErr w:type="gramStart"/>
      <w:r w:rsidRPr="00370398">
        <w:t>obtained results</w:t>
      </w:r>
      <w:proofErr w:type="gramEnd"/>
      <w:r w:rsidRPr="00370398">
        <w:t xml:space="preserve"> met the required criteria.</w:t>
      </w:r>
    </w:p>
    <w:p w14:paraId="52F3719A" w14:textId="77777777" w:rsidR="000C381A" w:rsidRPr="00370398" w:rsidRDefault="000C381A" w:rsidP="002B1258">
      <w:pPr>
        <w:pStyle w:val="BodyText"/>
        <w:ind w:left="0" w:hanging="2"/>
        <w:rPr>
          <w:rFonts w:eastAsia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370398" w:rsidRPr="00370398" w14:paraId="52F3719F" w14:textId="77777777" w:rsidTr="000C381A">
        <w:tc>
          <w:tcPr>
            <w:tcW w:w="2214" w:type="dxa"/>
          </w:tcPr>
          <w:p w14:paraId="52F3719B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Inspected parameter</w:t>
            </w:r>
          </w:p>
        </w:tc>
        <w:tc>
          <w:tcPr>
            <w:tcW w:w="2214" w:type="dxa"/>
          </w:tcPr>
          <w:p w14:paraId="52F3719C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Limit</w:t>
            </w:r>
          </w:p>
        </w:tc>
        <w:tc>
          <w:tcPr>
            <w:tcW w:w="2214" w:type="dxa"/>
          </w:tcPr>
          <w:p w14:paraId="52F3719D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Result</w:t>
            </w:r>
          </w:p>
        </w:tc>
        <w:tc>
          <w:tcPr>
            <w:tcW w:w="2214" w:type="dxa"/>
          </w:tcPr>
          <w:p w14:paraId="52F3719E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  <w:b/>
              </w:rPr>
            </w:pPr>
            <w:r w:rsidRPr="00370398">
              <w:rPr>
                <w:rFonts w:eastAsia="Arial Narrow"/>
                <w:b/>
              </w:rPr>
              <w:t>Pass/Fail</w:t>
            </w:r>
          </w:p>
        </w:tc>
      </w:tr>
      <w:tr w:rsidR="00370398" w:rsidRPr="00370398" w14:paraId="52F371A4" w14:textId="77777777" w:rsidTr="000C381A">
        <w:tc>
          <w:tcPr>
            <w:tcW w:w="2214" w:type="dxa"/>
          </w:tcPr>
          <w:p w14:paraId="52F371A0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Linearity</w:t>
            </w:r>
          </w:p>
        </w:tc>
        <w:tc>
          <w:tcPr>
            <w:tcW w:w="2214" w:type="dxa"/>
          </w:tcPr>
          <w:p w14:paraId="52F371A1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</w:t>
            </w:r>
            <w:r w:rsidRPr="00370398">
              <w:rPr>
                <w:rFonts w:eastAsia="Arial Narrow"/>
                <w:vertAlign w:val="superscript"/>
              </w:rPr>
              <w:t xml:space="preserve">2 </w:t>
            </w:r>
            <w:r w:rsidRPr="00370398">
              <w:rPr>
                <w:rFonts w:eastAsia="Arial Narrow"/>
              </w:rPr>
              <w:t>&gt;0.990</w:t>
            </w:r>
          </w:p>
        </w:tc>
        <w:tc>
          <w:tcPr>
            <w:tcW w:w="2214" w:type="dxa"/>
          </w:tcPr>
          <w:p w14:paraId="52F371A2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1.0</w:t>
            </w:r>
          </w:p>
        </w:tc>
        <w:tc>
          <w:tcPr>
            <w:tcW w:w="2214" w:type="dxa"/>
          </w:tcPr>
          <w:p w14:paraId="52F371A3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A9" w14:textId="77777777" w:rsidTr="00405856">
        <w:tc>
          <w:tcPr>
            <w:tcW w:w="2214" w:type="dxa"/>
          </w:tcPr>
          <w:p w14:paraId="52F371A5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Precision</w:t>
            </w:r>
            <w:r w:rsidR="00D02BB2" w:rsidRPr="00370398">
              <w:rPr>
                <w:rFonts w:eastAsia="Arial Narrow"/>
              </w:rPr>
              <w:t xml:space="preserve"> (RSD)</w:t>
            </w: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A6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A7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A8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</w:tr>
      <w:tr w:rsidR="00370398" w:rsidRPr="00370398" w14:paraId="52F371AE" w14:textId="77777777" w:rsidTr="000C381A">
        <w:tc>
          <w:tcPr>
            <w:tcW w:w="2214" w:type="dxa"/>
          </w:tcPr>
          <w:p w14:paraId="52F371AA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RSD (Rt)</w:t>
            </w:r>
          </w:p>
        </w:tc>
        <w:tc>
          <w:tcPr>
            <w:tcW w:w="2214" w:type="dxa"/>
          </w:tcPr>
          <w:p w14:paraId="52F371AB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&lt;2.0 %</w:t>
            </w:r>
          </w:p>
        </w:tc>
        <w:tc>
          <w:tcPr>
            <w:tcW w:w="2214" w:type="dxa"/>
          </w:tcPr>
          <w:p w14:paraId="52F371AC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0.39%</w:t>
            </w:r>
          </w:p>
        </w:tc>
        <w:tc>
          <w:tcPr>
            <w:tcW w:w="2214" w:type="dxa"/>
          </w:tcPr>
          <w:p w14:paraId="52F371AD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B3" w14:textId="77777777" w:rsidTr="000C381A">
        <w:tc>
          <w:tcPr>
            <w:tcW w:w="2214" w:type="dxa"/>
          </w:tcPr>
          <w:p w14:paraId="52F371AF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RSD (AUC)</w:t>
            </w:r>
          </w:p>
        </w:tc>
        <w:tc>
          <w:tcPr>
            <w:tcW w:w="2214" w:type="dxa"/>
          </w:tcPr>
          <w:p w14:paraId="52F371B0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&lt;2.0 %</w:t>
            </w:r>
          </w:p>
        </w:tc>
        <w:tc>
          <w:tcPr>
            <w:tcW w:w="2214" w:type="dxa"/>
          </w:tcPr>
          <w:p w14:paraId="52F371B1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0.15%</w:t>
            </w:r>
          </w:p>
        </w:tc>
        <w:tc>
          <w:tcPr>
            <w:tcW w:w="2214" w:type="dxa"/>
          </w:tcPr>
          <w:p w14:paraId="52F371B2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B8" w14:textId="77777777" w:rsidTr="000C381A">
        <w:tc>
          <w:tcPr>
            <w:tcW w:w="2214" w:type="dxa"/>
          </w:tcPr>
          <w:p w14:paraId="52F371B4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Accuracy</w:t>
            </w:r>
          </w:p>
        </w:tc>
        <w:tc>
          <w:tcPr>
            <w:tcW w:w="2214" w:type="dxa"/>
          </w:tcPr>
          <w:p w14:paraId="52F371B5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90%-110%</w:t>
            </w:r>
          </w:p>
        </w:tc>
        <w:tc>
          <w:tcPr>
            <w:tcW w:w="2214" w:type="dxa"/>
          </w:tcPr>
          <w:p w14:paraId="52F371B6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100%</w:t>
            </w:r>
          </w:p>
        </w:tc>
        <w:tc>
          <w:tcPr>
            <w:tcW w:w="2214" w:type="dxa"/>
          </w:tcPr>
          <w:p w14:paraId="52F371B7" w14:textId="77777777" w:rsidR="000C381A" w:rsidRPr="00370398" w:rsidRDefault="00D02BB2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BD" w14:textId="77777777" w:rsidTr="00405856">
        <w:tc>
          <w:tcPr>
            <w:tcW w:w="2214" w:type="dxa"/>
          </w:tcPr>
          <w:p w14:paraId="52F371B9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Repeatability</w:t>
            </w: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BA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BB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  <w:tc>
          <w:tcPr>
            <w:tcW w:w="2214" w:type="dxa"/>
            <w:shd w:val="clear" w:color="auto" w:fill="A6A6A6" w:themeFill="background1" w:themeFillShade="A6"/>
          </w:tcPr>
          <w:p w14:paraId="52F371BC" w14:textId="77777777" w:rsidR="000C381A" w:rsidRPr="00370398" w:rsidRDefault="000C381A" w:rsidP="002B1258">
            <w:pPr>
              <w:pStyle w:val="BodyText"/>
              <w:ind w:left="0" w:hanging="2"/>
              <w:rPr>
                <w:rFonts w:eastAsia="Arial Narrow"/>
              </w:rPr>
            </w:pPr>
          </w:p>
        </w:tc>
      </w:tr>
      <w:tr w:rsidR="00370398" w:rsidRPr="00370398" w14:paraId="52F371C2" w14:textId="77777777" w:rsidTr="000C381A">
        <w:tc>
          <w:tcPr>
            <w:tcW w:w="2214" w:type="dxa"/>
          </w:tcPr>
          <w:p w14:paraId="52F371BE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RSD (Rt)</w:t>
            </w:r>
          </w:p>
        </w:tc>
        <w:tc>
          <w:tcPr>
            <w:tcW w:w="2214" w:type="dxa"/>
          </w:tcPr>
          <w:p w14:paraId="52F371BF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&lt;2.0 %</w:t>
            </w:r>
          </w:p>
        </w:tc>
        <w:tc>
          <w:tcPr>
            <w:tcW w:w="2214" w:type="dxa"/>
          </w:tcPr>
          <w:p w14:paraId="52F371C0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1.04%</w:t>
            </w:r>
          </w:p>
        </w:tc>
        <w:tc>
          <w:tcPr>
            <w:tcW w:w="2214" w:type="dxa"/>
          </w:tcPr>
          <w:p w14:paraId="52F371C1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C7" w14:textId="77777777" w:rsidTr="000C381A">
        <w:tc>
          <w:tcPr>
            <w:tcW w:w="2214" w:type="dxa"/>
          </w:tcPr>
          <w:p w14:paraId="52F371C3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RSD (AUC)</w:t>
            </w:r>
          </w:p>
        </w:tc>
        <w:tc>
          <w:tcPr>
            <w:tcW w:w="2214" w:type="dxa"/>
          </w:tcPr>
          <w:p w14:paraId="52F371C4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&lt;2.0 %</w:t>
            </w:r>
          </w:p>
        </w:tc>
        <w:tc>
          <w:tcPr>
            <w:tcW w:w="2214" w:type="dxa"/>
          </w:tcPr>
          <w:p w14:paraId="52F371C5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0.11%</w:t>
            </w:r>
          </w:p>
        </w:tc>
        <w:tc>
          <w:tcPr>
            <w:tcW w:w="2214" w:type="dxa"/>
          </w:tcPr>
          <w:p w14:paraId="52F371C6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CC" w14:textId="77777777" w:rsidTr="000C381A">
        <w:tc>
          <w:tcPr>
            <w:tcW w:w="2214" w:type="dxa"/>
          </w:tcPr>
          <w:p w14:paraId="52F371C8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Specificity</w:t>
            </w:r>
            <w:r w:rsidR="004741D6" w:rsidRPr="00370398">
              <w:rPr>
                <w:rFonts w:eastAsia="Arial Narrow"/>
              </w:rPr>
              <w:t xml:space="preserve"> </w:t>
            </w:r>
          </w:p>
        </w:tc>
        <w:tc>
          <w:tcPr>
            <w:tcW w:w="2214" w:type="dxa"/>
          </w:tcPr>
          <w:p w14:paraId="52F371C9" w14:textId="77777777" w:rsidR="00405856" w:rsidRPr="00370398" w:rsidRDefault="004741D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&lt;2.0 %</w:t>
            </w:r>
          </w:p>
        </w:tc>
        <w:tc>
          <w:tcPr>
            <w:tcW w:w="2214" w:type="dxa"/>
          </w:tcPr>
          <w:p w14:paraId="52F371CA" w14:textId="77777777" w:rsidR="00405856" w:rsidRPr="00370398" w:rsidRDefault="004741D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0.01%</w:t>
            </w:r>
          </w:p>
        </w:tc>
        <w:tc>
          <w:tcPr>
            <w:tcW w:w="2214" w:type="dxa"/>
          </w:tcPr>
          <w:p w14:paraId="52F371CB" w14:textId="77777777" w:rsidR="00405856" w:rsidRPr="00370398" w:rsidRDefault="004741D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D1" w14:textId="77777777" w:rsidTr="000C381A">
        <w:tc>
          <w:tcPr>
            <w:tcW w:w="2214" w:type="dxa"/>
          </w:tcPr>
          <w:p w14:paraId="52F371CD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LOD</w:t>
            </w:r>
          </w:p>
        </w:tc>
        <w:tc>
          <w:tcPr>
            <w:tcW w:w="2214" w:type="dxa"/>
          </w:tcPr>
          <w:p w14:paraId="52F371CE" w14:textId="77777777" w:rsidR="00405856" w:rsidRPr="00370398" w:rsidRDefault="00A03211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(σ x 3.3)/Slope</w:t>
            </w:r>
          </w:p>
        </w:tc>
        <w:tc>
          <w:tcPr>
            <w:tcW w:w="2214" w:type="dxa"/>
          </w:tcPr>
          <w:p w14:paraId="52F371CF" w14:textId="77777777" w:rsidR="00405856" w:rsidRPr="00370398" w:rsidRDefault="004741D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0.00065</w:t>
            </w:r>
          </w:p>
        </w:tc>
        <w:tc>
          <w:tcPr>
            <w:tcW w:w="2214" w:type="dxa"/>
          </w:tcPr>
          <w:p w14:paraId="52F371D0" w14:textId="77777777" w:rsidR="00405856" w:rsidRPr="00370398" w:rsidRDefault="00A03211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  <w:tr w:rsidR="00370398" w:rsidRPr="00370398" w14:paraId="52F371D6" w14:textId="77777777" w:rsidTr="000C381A">
        <w:tc>
          <w:tcPr>
            <w:tcW w:w="2214" w:type="dxa"/>
          </w:tcPr>
          <w:p w14:paraId="52F371D2" w14:textId="77777777" w:rsidR="00405856" w:rsidRPr="00370398" w:rsidRDefault="0040585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LOQ</w:t>
            </w:r>
          </w:p>
        </w:tc>
        <w:tc>
          <w:tcPr>
            <w:tcW w:w="2214" w:type="dxa"/>
          </w:tcPr>
          <w:p w14:paraId="52F371D3" w14:textId="77777777" w:rsidR="00405856" w:rsidRPr="00370398" w:rsidRDefault="00A03211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(σ x 10)/Slope</w:t>
            </w:r>
          </w:p>
        </w:tc>
        <w:tc>
          <w:tcPr>
            <w:tcW w:w="2214" w:type="dxa"/>
          </w:tcPr>
          <w:p w14:paraId="52F371D4" w14:textId="77777777" w:rsidR="00405856" w:rsidRPr="00370398" w:rsidRDefault="004741D6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0.00198</w:t>
            </w:r>
          </w:p>
        </w:tc>
        <w:tc>
          <w:tcPr>
            <w:tcW w:w="2214" w:type="dxa"/>
          </w:tcPr>
          <w:p w14:paraId="52F371D5" w14:textId="77777777" w:rsidR="00405856" w:rsidRPr="00370398" w:rsidRDefault="00A03211" w:rsidP="002B1258">
            <w:pPr>
              <w:pStyle w:val="BodyText"/>
              <w:ind w:left="0" w:hanging="2"/>
              <w:rPr>
                <w:rFonts w:eastAsia="Arial Narrow"/>
              </w:rPr>
            </w:pPr>
            <w:r w:rsidRPr="00370398">
              <w:rPr>
                <w:rFonts w:eastAsia="Arial Narrow"/>
              </w:rPr>
              <w:t>Pass</w:t>
            </w:r>
          </w:p>
        </w:tc>
      </w:tr>
    </w:tbl>
    <w:p w14:paraId="52F371D7" w14:textId="77777777" w:rsidR="004741D6" w:rsidRPr="00370398" w:rsidRDefault="004C4CA6" w:rsidP="002B1258">
      <w:pPr>
        <w:pStyle w:val="BodyText"/>
        <w:ind w:left="0" w:hanging="2"/>
        <w:rPr>
          <w:rFonts w:eastAsia="Arial Narrow"/>
        </w:rPr>
      </w:pPr>
      <w:r w:rsidRPr="00370398">
        <w:rPr>
          <w:rFonts w:eastAsia="Arial Narrow"/>
        </w:rPr>
        <w:t xml:space="preserve">Table 1: Parameters, specifications and results of chemical purity validation using </w:t>
      </w:r>
      <w:proofErr w:type="spellStart"/>
      <w:r w:rsidRPr="00370398">
        <w:rPr>
          <w:rFonts w:eastAsia="Arial Narrow"/>
        </w:rPr>
        <w:t>rHPLC</w:t>
      </w:r>
      <w:proofErr w:type="spellEnd"/>
    </w:p>
    <w:p w14:paraId="52F371D8" w14:textId="77777777" w:rsidR="004C4CA6" w:rsidRPr="00370398" w:rsidRDefault="004C4CA6" w:rsidP="002B1258">
      <w:pPr>
        <w:pStyle w:val="BodyText"/>
        <w:ind w:left="0" w:hanging="2"/>
        <w:rPr>
          <w:rFonts w:eastAsia="Arial Narrow"/>
        </w:rPr>
      </w:pPr>
    </w:p>
    <w:p w14:paraId="52F3725A" w14:textId="41E88670" w:rsidR="00591D96" w:rsidRPr="00370398" w:rsidRDefault="00591D96" w:rsidP="002B1258">
      <w:pPr>
        <w:pStyle w:val="BodyText"/>
        <w:ind w:left="0" w:hanging="2"/>
        <w:rPr>
          <w:rFonts w:eastAsia="Arial Narrow"/>
        </w:rPr>
      </w:pPr>
    </w:p>
    <w:sectPr w:rsidR="00591D96" w:rsidRPr="00370398" w:rsidSect="00C4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5F49" w14:textId="77777777" w:rsidR="00961B95" w:rsidRDefault="00961B95" w:rsidP="003642C5">
      <w:pPr>
        <w:spacing w:line="240" w:lineRule="auto"/>
        <w:ind w:left="0" w:hanging="2"/>
      </w:pPr>
      <w:r>
        <w:separator/>
      </w:r>
    </w:p>
  </w:endnote>
  <w:endnote w:type="continuationSeparator" w:id="0">
    <w:p w14:paraId="45D16990" w14:textId="77777777" w:rsidR="00961B95" w:rsidRDefault="00961B95" w:rsidP="003642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77" w14:textId="77777777" w:rsidR="00137C0E" w:rsidRDefault="00137C0E" w:rsidP="00137C0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78" w14:textId="77777777" w:rsidR="00137C0E" w:rsidRDefault="00137C0E" w:rsidP="00137C0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7A" w14:textId="77777777" w:rsidR="00137C0E" w:rsidRDefault="00137C0E" w:rsidP="00137C0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4239" w14:textId="77777777" w:rsidR="00961B95" w:rsidRDefault="00961B95" w:rsidP="003642C5">
      <w:pPr>
        <w:spacing w:line="240" w:lineRule="auto"/>
        <w:ind w:left="0" w:hanging="2"/>
      </w:pPr>
      <w:r>
        <w:separator/>
      </w:r>
    </w:p>
  </w:footnote>
  <w:footnote w:type="continuationSeparator" w:id="0">
    <w:p w14:paraId="5AB82B8C" w14:textId="77777777" w:rsidR="00961B95" w:rsidRDefault="00961B95" w:rsidP="003642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6B" w14:textId="77777777" w:rsidR="00137C0E" w:rsidRDefault="00137C0E" w:rsidP="00137C0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76" w14:textId="77777777" w:rsidR="00137C0E" w:rsidRDefault="00137C0E" w:rsidP="00740051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7579" w14:textId="77777777" w:rsidR="00137C0E" w:rsidRDefault="00137C0E" w:rsidP="00137C0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914"/>
    <w:multiLevelType w:val="multilevel"/>
    <w:tmpl w:val="2D64DB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766E8C"/>
    <w:multiLevelType w:val="multilevel"/>
    <w:tmpl w:val="C2E8ED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" w15:restartNumberingAfterBreak="0">
    <w:nsid w:val="11017B03"/>
    <w:multiLevelType w:val="multilevel"/>
    <w:tmpl w:val="8BC0EE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4C510EF"/>
    <w:multiLevelType w:val="hybridMultilevel"/>
    <w:tmpl w:val="886E77B8"/>
    <w:lvl w:ilvl="0" w:tplc="712C0746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1" w:tplc="4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0F0ED2"/>
    <w:multiLevelType w:val="hybridMultilevel"/>
    <w:tmpl w:val="48B83030"/>
    <w:lvl w:ilvl="0" w:tplc="431274E8">
      <w:start w:val="1"/>
      <w:numFmt w:val="lowerLetter"/>
      <w:lvlText w:val="%1."/>
      <w:lvlJc w:val="left"/>
      <w:pPr>
        <w:ind w:left="144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2" w:hanging="360"/>
      </w:pPr>
    </w:lvl>
    <w:lvl w:ilvl="2" w:tplc="4409001B" w:tentative="1">
      <w:start w:val="1"/>
      <w:numFmt w:val="lowerRoman"/>
      <w:lvlText w:val="%3."/>
      <w:lvlJc w:val="right"/>
      <w:pPr>
        <w:ind w:left="2882" w:hanging="180"/>
      </w:pPr>
    </w:lvl>
    <w:lvl w:ilvl="3" w:tplc="4409000F" w:tentative="1">
      <w:start w:val="1"/>
      <w:numFmt w:val="decimal"/>
      <w:lvlText w:val="%4."/>
      <w:lvlJc w:val="left"/>
      <w:pPr>
        <w:ind w:left="3602" w:hanging="360"/>
      </w:pPr>
    </w:lvl>
    <w:lvl w:ilvl="4" w:tplc="44090019" w:tentative="1">
      <w:start w:val="1"/>
      <w:numFmt w:val="lowerLetter"/>
      <w:lvlText w:val="%5."/>
      <w:lvlJc w:val="left"/>
      <w:pPr>
        <w:ind w:left="4322" w:hanging="360"/>
      </w:pPr>
    </w:lvl>
    <w:lvl w:ilvl="5" w:tplc="4409001B" w:tentative="1">
      <w:start w:val="1"/>
      <w:numFmt w:val="lowerRoman"/>
      <w:lvlText w:val="%6."/>
      <w:lvlJc w:val="right"/>
      <w:pPr>
        <w:ind w:left="5042" w:hanging="180"/>
      </w:pPr>
    </w:lvl>
    <w:lvl w:ilvl="6" w:tplc="4409000F" w:tentative="1">
      <w:start w:val="1"/>
      <w:numFmt w:val="decimal"/>
      <w:lvlText w:val="%7."/>
      <w:lvlJc w:val="left"/>
      <w:pPr>
        <w:ind w:left="5762" w:hanging="360"/>
      </w:pPr>
    </w:lvl>
    <w:lvl w:ilvl="7" w:tplc="44090019" w:tentative="1">
      <w:start w:val="1"/>
      <w:numFmt w:val="lowerLetter"/>
      <w:lvlText w:val="%8."/>
      <w:lvlJc w:val="left"/>
      <w:pPr>
        <w:ind w:left="6482" w:hanging="360"/>
      </w:pPr>
    </w:lvl>
    <w:lvl w:ilvl="8" w:tplc="4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5" w15:restartNumberingAfterBreak="0">
    <w:nsid w:val="226665EE"/>
    <w:multiLevelType w:val="hybridMultilevel"/>
    <w:tmpl w:val="5642A546"/>
    <w:lvl w:ilvl="0" w:tplc="628614B8">
      <w:start w:val="5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C20EE7"/>
    <w:multiLevelType w:val="multilevel"/>
    <w:tmpl w:val="DD92D9A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497733"/>
    <w:multiLevelType w:val="hybridMultilevel"/>
    <w:tmpl w:val="F9E6B9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6DAA"/>
    <w:multiLevelType w:val="multilevel"/>
    <w:tmpl w:val="C210781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44C76B0"/>
    <w:multiLevelType w:val="hybridMultilevel"/>
    <w:tmpl w:val="39DC37A0"/>
    <w:lvl w:ilvl="0" w:tplc="DB0606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50672"/>
    <w:multiLevelType w:val="hybridMultilevel"/>
    <w:tmpl w:val="08AC07FA"/>
    <w:lvl w:ilvl="0" w:tplc="D2D24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3613"/>
    <w:multiLevelType w:val="multilevel"/>
    <w:tmpl w:val="7C3C79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FD27611"/>
    <w:multiLevelType w:val="multilevel"/>
    <w:tmpl w:val="6A7CA2D2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0522EC3"/>
    <w:multiLevelType w:val="multilevel"/>
    <w:tmpl w:val="2408933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61042D04"/>
    <w:multiLevelType w:val="multilevel"/>
    <w:tmpl w:val="4E2A3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1DC734C"/>
    <w:multiLevelType w:val="hybridMultilevel"/>
    <w:tmpl w:val="09BE21A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A4563"/>
    <w:multiLevelType w:val="multilevel"/>
    <w:tmpl w:val="74A8BE80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17" w15:restartNumberingAfterBreak="0">
    <w:nsid w:val="74884E7A"/>
    <w:multiLevelType w:val="hybridMultilevel"/>
    <w:tmpl w:val="DD9433CE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4F2B7D"/>
    <w:multiLevelType w:val="multilevel"/>
    <w:tmpl w:val="3008072C"/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05769996">
    <w:abstractNumId w:val="6"/>
  </w:num>
  <w:num w:numId="2" w16cid:durableId="636763886">
    <w:abstractNumId w:val="16"/>
  </w:num>
  <w:num w:numId="3" w16cid:durableId="678198949">
    <w:abstractNumId w:val="18"/>
  </w:num>
  <w:num w:numId="4" w16cid:durableId="2103985770">
    <w:abstractNumId w:val="12"/>
  </w:num>
  <w:num w:numId="5" w16cid:durableId="1137181630">
    <w:abstractNumId w:val="14"/>
  </w:num>
  <w:num w:numId="6" w16cid:durableId="1663047292">
    <w:abstractNumId w:val="11"/>
  </w:num>
  <w:num w:numId="7" w16cid:durableId="347294577">
    <w:abstractNumId w:val="13"/>
  </w:num>
  <w:num w:numId="8" w16cid:durableId="1884445222">
    <w:abstractNumId w:val="0"/>
  </w:num>
  <w:num w:numId="9" w16cid:durableId="1417940306">
    <w:abstractNumId w:val="8"/>
  </w:num>
  <w:num w:numId="10" w16cid:durableId="1770739058">
    <w:abstractNumId w:val="10"/>
  </w:num>
  <w:num w:numId="11" w16cid:durableId="1197423347">
    <w:abstractNumId w:val="4"/>
  </w:num>
  <w:num w:numId="12" w16cid:durableId="65078038">
    <w:abstractNumId w:val="9"/>
  </w:num>
  <w:num w:numId="13" w16cid:durableId="1839928861">
    <w:abstractNumId w:val="7"/>
  </w:num>
  <w:num w:numId="14" w16cid:durableId="1421441915">
    <w:abstractNumId w:val="3"/>
  </w:num>
  <w:num w:numId="15" w16cid:durableId="1881046053">
    <w:abstractNumId w:val="15"/>
  </w:num>
  <w:num w:numId="16" w16cid:durableId="1256130466">
    <w:abstractNumId w:val="17"/>
  </w:num>
  <w:num w:numId="17" w16cid:durableId="801388904">
    <w:abstractNumId w:val="5"/>
  </w:num>
  <w:num w:numId="18" w16cid:durableId="1559707213">
    <w:abstractNumId w:val="2"/>
  </w:num>
  <w:num w:numId="19" w16cid:durableId="178560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D4F"/>
    <w:rsid w:val="00024BB0"/>
    <w:rsid w:val="00036BFF"/>
    <w:rsid w:val="0004522D"/>
    <w:rsid w:val="00052324"/>
    <w:rsid w:val="00065985"/>
    <w:rsid w:val="00074129"/>
    <w:rsid w:val="000741E7"/>
    <w:rsid w:val="00077F9B"/>
    <w:rsid w:val="00092166"/>
    <w:rsid w:val="000B0AF0"/>
    <w:rsid w:val="000B1A0C"/>
    <w:rsid w:val="000C381A"/>
    <w:rsid w:val="000C648A"/>
    <w:rsid w:val="000D5D19"/>
    <w:rsid w:val="000F106B"/>
    <w:rsid w:val="00103C8A"/>
    <w:rsid w:val="001300D9"/>
    <w:rsid w:val="00137C0E"/>
    <w:rsid w:val="00143628"/>
    <w:rsid w:val="00153151"/>
    <w:rsid w:val="001627AB"/>
    <w:rsid w:val="00165DA7"/>
    <w:rsid w:val="00174295"/>
    <w:rsid w:val="0017771B"/>
    <w:rsid w:val="00181485"/>
    <w:rsid w:val="00196519"/>
    <w:rsid w:val="001A2547"/>
    <w:rsid w:val="001A2B18"/>
    <w:rsid w:val="001A5325"/>
    <w:rsid w:val="001B1504"/>
    <w:rsid w:val="001B3207"/>
    <w:rsid w:val="001C4A5D"/>
    <w:rsid w:val="001D265D"/>
    <w:rsid w:val="001E48EA"/>
    <w:rsid w:val="001F4708"/>
    <w:rsid w:val="00230932"/>
    <w:rsid w:val="002623CD"/>
    <w:rsid w:val="00265F7C"/>
    <w:rsid w:val="0027010D"/>
    <w:rsid w:val="00273C97"/>
    <w:rsid w:val="00280737"/>
    <w:rsid w:val="002A795E"/>
    <w:rsid w:val="002B1258"/>
    <w:rsid w:val="002B6D30"/>
    <w:rsid w:val="002C37D9"/>
    <w:rsid w:val="002C52EE"/>
    <w:rsid w:val="002C546F"/>
    <w:rsid w:val="002C6413"/>
    <w:rsid w:val="0030365C"/>
    <w:rsid w:val="00304919"/>
    <w:rsid w:val="00311E9E"/>
    <w:rsid w:val="00320D63"/>
    <w:rsid w:val="00331451"/>
    <w:rsid w:val="003371FD"/>
    <w:rsid w:val="003429FF"/>
    <w:rsid w:val="00347987"/>
    <w:rsid w:val="00354E06"/>
    <w:rsid w:val="003642C5"/>
    <w:rsid w:val="00370398"/>
    <w:rsid w:val="00373B7E"/>
    <w:rsid w:val="003772B8"/>
    <w:rsid w:val="003A41BE"/>
    <w:rsid w:val="003A75F2"/>
    <w:rsid w:val="003B11E9"/>
    <w:rsid w:val="003C152F"/>
    <w:rsid w:val="003C40CD"/>
    <w:rsid w:val="003C4D64"/>
    <w:rsid w:val="003F1B7F"/>
    <w:rsid w:val="003F3CB0"/>
    <w:rsid w:val="003F7AA9"/>
    <w:rsid w:val="00405856"/>
    <w:rsid w:val="00407CC7"/>
    <w:rsid w:val="00442C9B"/>
    <w:rsid w:val="00463818"/>
    <w:rsid w:val="0046392D"/>
    <w:rsid w:val="004741D6"/>
    <w:rsid w:val="004A02CD"/>
    <w:rsid w:val="004B1003"/>
    <w:rsid w:val="004B1900"/>
    <w:rsid w:val="004C4CA6"/>
    <w:rsid w:val="004F27E5"/>
    <w:rsid w:val="00505A44"/>
    <w:rsid w:val="005101AF"/>
    <w:rsid w:val="0055411C"/>
    <w:rsid w:val="0055601F"/>
    <w:rsid w:val="00563581"/>
    <w:rsid w:val="005748F3"/>
    <w:rsid w:val="00591D96"/>
    <w:rsid w:val="005B0172"/>
    <w:rsid w:val="005D503B"/>
    <w:rsid w:val="005F0606"/>
    <w:rsid w:val="005F171D"/>
    <w:rsid w:val="00605200"/>
    <w:rsid w:val="00605B72"/>
    <w:rsid w:val="006223D3"/>
    <w:rsid w:val="00653669"/>
    <w:rsid w:val="0065498A"/>
    <w:rsid w:val="0066097A"/>
    <w:rsid w:val="006961EC"/>
    <w:rsid w:val="006A3FA8"/>
    <w:rsid w:val="006B4F6F"/>
    <w:rsid w:val="006B5856"/>
    <w:rsid w:val="006C3712"/>
    <w:rsid w:val="00706EEE"/>
    <w:rsid w:val="00713B33"/>
    <w:rsid w:val="00720C86"/>
    <w:rsid w:val="00730703"/>
    <w:rsid w:val="00736E72"/>
    <w:rsid w:val="007370AC"/>
    <w:rsid w:val="00740051"/>
    <w:rsid w:val="00741991"/>
    <w:rsid w:val="00755D78"/>
    <w:rsid w:val="0075687C"/>
    <w:rsid w:val="007656ED"/>
    <w:rsid w:val="00777D2C"/>
    <w:rsid w:val="007B627E"/>
    <w:rsid w:val="007D08F3"/>
    <w:rsid w:val="007D39C9"/>
    <w:rsid w:val="007E15EF"/>
    <w:rsid w:val="00820E0D"/>
    <w:rsid w:val="00830E28"/>
    <w:rsid w:val="0085432E"/>
    <w:rsid w:val="008876E9"/>
    <w:rsid w:val="008B2A92"/>
    <w:rsid w:val="008C2485"/>
    <w:rsid w:val="008F3309"/>
    <w:rsid w:val="00900F2E"/>
    <w:rsid w:val="00913990"/>
    <w:rsid w:val="00920610"/>
    <w:rsid w:val="00923008"/>
    <w:rsid w:val="009418F2"/>
    <w:rsid w:val="00947C9A"/>
    <w:rsid w:val="00961B95"/>
    <w:rsid w:val="009649C6"/>
    <w:rsid w:val="00967C22"/>
    <w:rsid w:val="009952B8"/>
    <w:rsid w:val="00996651"/>
    <w:rsid w:val="009B4DDE"/>
    <w:rsid w:val="009C59E6"/>
    <w:rsid w:val="009C6F97"/>
    <w:rsid w:val="009D1140"/>
    <w:rsid w:val="009E6B1C"/>
    <w:rsid w:val="009E6C9F"/>
    <w:rsid w:val="00A03211"/>
    <w:rsid w:val="00A1064E"/>
    <w:rsid w:val="00A16B7D"/>
    <w:rsid w:val="00A36EB1"/>
    <w:rsid w:val="00A55902"/>
    <w:rsid w:val="00A609C6"/>
    <w:rsid w:val="00A62814"/>
    <w:rsid w:val="00A85B89"/>
    <w:rsid w:val="00A91B67"/>
    <w:rsid w:val="00AC05D1"/>
    <w:rsid w:val="00AC483B"/>
    <w:rsid w:val="00AD1CBD"/>
    <w:rsid w:val="00AD7A35"/>
    <w:rsid w:val="00B16A15"/>
    <w:rsid w:val="00B2727A"/>
    <w:rsid w:val="00B636FE"/>
    <w:rsid w:val="00B746BC"/>
    <w:rsid w:val="00BA1D7C"/>
    <w:rsid w:val="00BA3002"/>
    <w:rsid w:val="00BB620D"/>
    <w:rsid w:val="00BC5A96"/>
    <w:rsid w:val="00BE17EB"/>
    <w:rsid w:val="00C20FC3"/>
    <w:rsid w:val="00C24C93"/>
    <w:rsid w:val="00C40C45"/>
    <w:rsid w:val="00C44EB5"/>
    <w:rsid w:val="00C4734B"/>
    <w:rsid w:val="00C51A26"/>
    <w:rsid w:val="00C665F2"/>
    <w:rsid w:val="00C75BA5"/>
    <w:rsid w:val="00CA6C10"/>
    <w:rsid w:val="00CB78F6"/>
    <w:rsid w:val="00CD7113"/>
    <w:rsid w:val="00CF27A3"/>
    <w:rsid w:val="00D02BB2"/>
    <w:rsid w:val="00D11F2B"/>
    <w:rsid w:val="00D572B6"/>
    <w:rsid w:val="00D639C3"/>
    <w:rsid w:val="00D95703"/>
    <w:rsid w:val="00D95C9C"/>
    <w:rsid w:val="00DB49E6"/>
    <w:rsid w:val="00DE0A7F"/>
    <w:rsid w:val="00E03D4F"/>
    <w:rsid w:val="00E26234"/>
    <w:rsid w:val="00E66164"/>
    <w:rsid w:val="00E941C9"/>
    <w:rsid w:val="00EB69C6"/>
    <w:rsid w:val="00EC0BBA"/>
    <w:rsid w:val="00ED1CE2"/>
    <w:rsid w:val="00EF5235"/>
    <w:rsid w:val="00F27918"/>
    <w:rsid w:val="00F4141D"/>
    <w:rsid w:val="00F95EF5"/>
    <w:rsid w:val="00F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370B9"/>
  <w15:docId w15:val="{86EFF282-CAB4-422E-A57C-2A0C3349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  <w:rPr>
      <w:rFonts w:ascii="Calibri" w:hAnsi="Calibri"/>
      <w:bCs/>
      <w:sz w:val="22"/>
      <w:lang w:val="en-GB"/>
    </w:rPr>
  </w:style>
  <w:style w:type="paragraph" w:styleId="BodyTextIndent2">
    <w:name w:val="Body Text Indent 2"/>
    <w:basedOn w:val="Normal"/>
    <w:pPr>
      <w:ind w:firstLine="720"/>
    </w:pPr>
    <w:rPr>
      <w:rFonts w:ascii="Calibri" w:hAnsi="Calibri"/>
      <w:bCs/>
      <w:sz w:val="22"/>
      <w:lang w:val="en-GB"/>
    </w:rPr>
  </w:style>
  <w:style w:type="paragraph" w:styleId="BodyTextIndent3">
    <w:name w:val="Body Text Indent 3"/>
    <w:basedOn w:val="Normal"/>
    <w:pPr>
      <w:ind w:firstLine="360"/>
      <w:jc w:val="both"/>
    </w:pPr>
    <w:rPr>
      <w:rFonts w:ascii="Calibri" w:hAnsi="Calibri" w:cs="Arial"/>
      <w:sz w:val="21"/>
      <w:szCs w:val="21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table" w:customStyle="1" w:styleId="PlainTable21">
    <w:name w:val="Plain Table 2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paragraph" w:styleId="ListParagraph">
    <w:name w:val="List Paragraph"/>
    <w:basedOn w:val="Normal"/>
    <w:pPr>
      <w:ind w:left="72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inion Pro" w:hAnsi="Minion Pro" w:cs="Minion Pro"/>
      <w:color w:val="000000"/>
      <w:position w:val="-1"/>
      <w:lang w:val="en-MY"/>
    </w:rPr>
  </w:style>
  <w:style w:type="paragraph" w:styleId="BodyText">
    <w:name w:val="Body Text"/>
    <w:basedOn w:val="Normal"/>
    <w:qFormat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6B4F6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MY" w:eastAsia="en-MY"/>
    </w:rPr>
  </w:style>
  <w:style w:type="character" w:customStyle="1" w:styleId="katex-mathml">
    <w:name w:val="katex-mathml"/>
    <w:basedOn w:val="DefaultParagraphFont"/>
    <w:rsid w:val="009C59E6"/>
  </w:style>
  <w:style w:type="character" w:customStyle="1" w:styleId="mord">
    <w:name w:val="mord"/>
    <w:basedOn w:val="DefaultParagraphFont"/>
    <w:rsid w:val="009C59E6"/>
  </w:style>
  <w:style w:type="character" w:customStyle="1" w:styleId="mrel">
    <w:name w:val="mrel"/>
    <w:basedOn w:val="DefaultParagraphFont"/>
    <w:rsid w:val="009C59E6"/>
  </w:style>
  <w:style w:type="character" w:customStyle="1" w:styleId="mbin">
    <w:name w:val="mbin"/>
    <w:basedOn w:val="DefaultParagraphFont"/>
    <w:rsid w:val="009C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kn-ifofs01\UNIT_PET_CT\6.%20GMP%20TEAM\QUALITY%20CONTROL%20TEAM\RESEARCH%20&amp;%20NEW%20RADIOPHARMACEUTICALS\F18%20PSMA\STD%20CURV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lvl="0">
              <a:defRPr sz="1400" b="0" i="0">
                <a:solidFill>
                  <a:srgbClr val="757575"/>
                </a:solidFill>
                <a:latin typeface="+mn-lt"/>
              </a:defRPr>
            </a:pPr>
            <a:r>
              <a:rPr lang="en-US" sz="1400" b="0" i="0">
                <a:solidFill>
                  <a:srgbClr val="757575"/>
                </a:solidFill>
                <a:latin typeface="+mn-lt"/>
              </a:rPr>
              <a:t>PSMA</a:t>
            </a:r>
            <a:r>
              <a:rPr lang="en-US" sz="1400" b="0" i="0" baseline="0">
                <a:solidFill>
                  <a:srgbClr val="757575"/>
                </a:solidFill>
                <a:latin typeface="+mn-lt"/>
              </a:rPr>
              <a:t>-1007</a:t>
            </a:r>
            <a:r>
              <a:rPr lang="en-US" sz="1400" b="0" i="0">
                <a:solidFill>
                  <a:srgbClr val="757575"/>
                </a:solidFill>
                <a:latin typeface="+mn-lt"/>
              </a:rPr>
              <a:t> Linearity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noFill/>
            </a:ln>
          </c:spPr>
          <c:marker>
            <c:symbol val="circle"/>
            <c:size val="7"/>
            <c:spPr>
              <a:solidFill>
                <a:schemeClr val="accent1"/>
              </a:solidFill>
              <a:ln cmpd="sng">
                <a:solidFill>
                  <a:schemeClr val="accent1"/>
                </a:solidFill>
              </a:ln>
            </c:spPr>
          </c:marker>
          <c:trendline>
            <c:spPr>
              <a:ln w="19050">
                <a:solidFill>
                  <a:srgbClr val="000000">
                    <a:alpha val="0"/>
                  </a:srgbClr>
                </a:solidFill>
              </a:ln>
            </c:spPr>
            <c:trendlineType val="linear"/>
            <c:intercept val="0"/>
            <c:dispRSqr val="0"/>
            <c:dispEq val="0"/>
          </c:trendline>
          <c:trendline>
            <c:trendlineType val="linear"/>
            <c:intercept val="0"/>
            <c:dispRSqr val="0"/>
            <c:dispEq val="0"/>
          </c:trendline>
          <c:trendline>
            <c:trendlineType val="linear"/>
            <c:intercept val="0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20322417214188096"/>
                  <c:y val="9.6805555555555561E-2"/>
                </c:manualLayout>
              </c:layout>
              <c:numFmt formatCode="General" sourceLinked="0"/>
            </c:trendlineLbl>
          </c:trendline>
          <c:xVal>
            <c:numRef>
              <c:f>'PSMA-1007'!$W$11:$Z$11</c:f>
              <c:numCache>
                <c:formatCode>0.000</c:formatCode>
                <c:ptCount val="4"/>
                <c:pt idx="0">
                  <c:v>0.03</c:v>
                </c:pt>
                <c:pt idx="1">
                  <c:v>0.02</c:v>
                </c:pt>
                <c:pt idx="2">
                  <c:v>0.01</c:v>
                </c:pt>
                <c:pt idx="3">
                  <c:v>5.0000000000000001E-3</c:v>
                </c:pt>
              </c:numCache>
            </c:numRef>
          </c:xVal>
          <c:yVal>
            <c:numRef>
              <c:f>'PSMA-1007'!$W$12:$Z$12</c:f>
              <c:numCache>
                <c:formatCode>0.0</c:formatCode>
                <c:ptCount val="4"/>
                <c:pt idx="0">
                  <c:v>2360.3049999999998</c:v>
                </c:pt>
                <c:pt idx="1">
                  <c:v>1581.4213333333335</c:v>
                </c:pt>
                <c:pt idx="2">
                  <c:v>780.48810000000003</c:v>
                </c:pt>
                <c:pt idx="3">
                  <c:v>390.80413333333331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FA35-47D5-81C3-CF2009E7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515072"/>
        <c:axId val="104609664"/>
      </c:scatterChart>
      <c:valAx>
        <c:axId val="10251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lvl="0">
                  <a:defRPr b="0">
                    <a:solidFill>
                      <a:srgbClr val="000000"/>
                    </a:solidFill>
                    <a:latin typeface="+mn-lt"/>
                  </a:defRPr>
                </a:pPr>
                <a:endParaRPr lang="en-US"/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en-US"/>
          </a:p>
        </c:txPr>
        <c:crossAx val="104609664"/>
        <c:crosses val="autoZero"/>
        <c:crossBetween val="midCat"/>
      </c:valAx>
      <c:valAx>
        <c:axId val="1046096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 lvl="0">
                  <a:defRPr b="0">
                    <a:solidFill>
                      <a:srgbClr val="000000"/>
                    </a:solidFill>
                    <a:latin typeface="+mn-lt"/>
                  </a:defRPr>
                </a:pPr>
                <a:endParaRPr lang="en-US"/>
              </a:p>
            </c:rich>
          </c:tx>
          <c:overlay val="0"/>
        </c:title>
        <c:numFmt formatCode="0.0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sz="900" b="0" i="0">
                <a:solidFill>
                  <a:srgbClr val="000000"/>
                </a:solidFill>
                <a:latin typeface="+mn-lt"/>
              </a:defRPr>
            </a:pPr>
            <a:endParaRPr lang="en-US"/>
          </a:p>
        </c:txPr>
        <c:crossAx val="102515072"/>
        <c:crosses val="autoZero"/>
        <c:crossBetween val="midCat"/>
      </c:valAx>
    </c:plotArea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3CnN+nmoOYOD6yfP6K6aoHX5w==">CgMxLjAaKwoBMBImCiQIB0IgCgxBcmlhbCBOYXJyb3cSEEFyaWFsIFVuaWNvZGUgTVMaKwoBMRImCiQIB0IgCgxBcmlhbCBOYXJyb3cSEEFyaWFsIFVuaWNvZGUgTVMaKwoBMhImCiQIB0IgCgxBcmlhbCBOYXJyb3cSEEFyaWFsIFVuaWNvZGUgTVMyCWlkLmdqZGd4czIKaWQuMzBqMHpsbDIKaWQuMWZvYjl0ZTgAciExVzhmNm1SM3hnV05YNkF4emxKUmtwd3JLSFFrczhsV3U=</go:docsCustomData>
</go:gDocsCustomXmlDataStorage>
</file>

<file path=customXml/itemProps1.xml><?xml version="1.0" encoding="utf-8"?>
<ds:datastoreItem xmlns:ds="http://schemas.openxmlformats.org/officeDocument/2006/customXml" ds:itemID="{295F01DB-A081-4E8C-AC6B-0E94CEEC1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1036</Words>
  <Characters>5724</Characters>
  <Application>Microsoft Office Word</Application>
  <DocSecurity>0</DocSecurity>
  <Lines>572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pfatikah</dc:creator>
  <cp:lastModifiedBy>Zarif Ashhar</cp:lastModifiedBy>
  <cp:revision>34</cp:revision>
  <dcterms:created xsi:type="dcterms:W3CDTF">2025-05-21T04:18:00Z</dcterms:created>
  <dcterms:modified xsi:type="dcterms:W3CDTF">2025-05-24T01:30:00Z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8c0f8d2d-b8b7-46c1-b867-ddbf45d3ef68</vt:lpwstr>
  </property>
</Properties>
</file>