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DFB" w:rsidRDefault="00FA0DFB" w:rsidP="00FA0DFB">
      <w:pPr>
        <w:widowControl w:val="0"/>
        <w:autoSpaceDE w:val="0"/>
        <w:autoSpaceDN w:val="0"/>
        <w:bidi w:val="0"/>
        <w:adjustRightInd w:val="0"/>
        <w:spacing w:after="24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Methods</w:t>
      </w:r>
    </w:p>
    <w:p w:rsidR="00FA0DFB" w:rsidRPr="00005A92" w:rsidRDefault="00FA0DFB" w:rsidP="00FA0DFB">
      <w:pPr>
        <w:widowControl w:val="0"/>
        <w:autoSpaceDE w:val="0"/>
        <w:autoSpaceDN w:val="0"/>
        <w:bidi w:val="0"/>
        <w:adjustRightInd w:val="0"/>
        <w:spacing w:after="240" w:line="480" w:lineRule="auto"/>
        <w:rPr>
          <w:rFonts w:asciiTheme="majorBidi" w:hAnsiTheme="majorBidi" w:cstheme="majorBidi"/>
          <w:sz w:val="24"/>
          <w:szCs w:val="24"/>
        </w:rPr>
      </w:pPr>
      <w:r w:rsidRPr="00FA0DFB">
        <w:rPr>
          <w:rFonts w:asciiTheme="majorBidi" w:hAnsiTheme="majorBidi" w:cstheme="majorBidi"/>
          <w:b/>
          <w:bCs/>
          <w:sz w:val="24"/>
          <w:szCs w:val="24"/>
        </w:rPr>
        <w:t xml:space="preserve">Generation of </w:t>
      </w:r>
      <w:proofErr w:type="spellStart"/>
      <w:r w:rsidRPr="00FA0DFB">
        <w:rPr>
          <w:rFonts w:asciiTheme="majorBidi" w:hAnsiTheme="majorBidi" w:cstheme="majorBidi"/>
          <w:b/>
          <w:bCs/>
          <w:sz w:val="24"/>
          <w:szCs w:val="24"/>
        </w:rPr>
        <w:t>myc</w:t>
      </w:r>
      <w:proofErr w:type="spellEnd"/>
      <w:r w:rsidRPr="00FA0DFB">
        <w:rPr>
          <w:rFonts w:asciiTheme="majorBidi" w:hAnsiTheme="majorBidi" w:cstheme="majorBidi"/>
          <w:b/>
          <w:bCs/>
          <w:sz w:val="24"/>
          <w:szCs w:val="24"/>
        </w:rPr>
        <w:t>-tagged WT and mutant hCD59 expression plasmids.</w:t>
      </w:r>
      <w:r w:rsidRPr="00005A92">
        <w:rPr>
          <w:rFonts w:asciiTheme="majorBidi" w:hAnsiTheme="majorBidi" w:cstheme="majorBidi"/>
          <w:sz w:val="24"/>
          <w:szCs w:val="24"/>
        </w:rPr>
        <w:t xml:space="preserve">  Total RNA was extracted from human white blood cell samples using TRI Reagent (Sigma, St Louis, MO, USA). cDNA generated by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SuperScript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II Reverse Transcriptase (Life Technologies, Carlsbad, CA, USA) from RNAs isolated from both a Cys64Tyr</w:t>
      </w:r>
      <w:r w:rsidRPr="00005A92" w:rsidDel="00353412">
        <w:rPr>
          <w:rFonts w:asciiTheme="majorBidi" w:hAnsiTheme="majorBidi" w:cstheme="majorBidi"/>
          <w:sz w:val="24"/>
          <w:szCs w:val="24"/>
        </w:rPr>
        <w:t xml:space="preserve"> </w:t>
      </w:r>
      <w:r w:rsidRPr="00005A92">
        <w:rPr>
          <w:rFonts w:asciiTheme="majorBidi" w:hAnsiTheme="majorBidi" w:cstheme="majorBidi"/>
          <w:sz w:val="24"/>
          <w:szCs w:val="24"/>
        </w:rPr>
        <w:t xml:space="preserve">homozygous patient and a healthy individual were used as templates for PCR reactions using the following primers: Forward 5’-GGGCGCAAGCTTGTTCTGTGGACAATCACAATGGG -3’. Reverse 5’- AGTTTGTCTAGAGCTCTCCTGGTGTTGACTTAGG -3’. The 446bp PCR products were digested by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HindIII-XbaI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restriction enzymes (New England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BioLabs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, Ipswich, MA, USA) as per the manufacturer’s protocol and ligated into a pcDNA3 vector that was digested by the same restriction enzymes to create hCD59 and hCD59 Cys64Tyr plasmids. For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myc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tag insertion, a 30bp oligonucleotide (corresponding to the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myc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peptide sequence EQKLISEEDL) was inserted between the leader sequence of hCD59 and the N-terminal amino acid of the hCD59 (Fig. S1A) by PCR reactions using the following primer pairs: forward 5’ - GTCAATGGGAGTTTGTTTTGGC -3’, reverse 5’-CAGATCCTCTTCTGAGATGAGTTTTTGTTCGCTATGACCTGAATGGCAGAAG -3’; forward 5’-CTCATCTCAGAAGAGGATCTGCTGCAGTGCTACAACTGTCC -3’, reverse 5’-TCGAGGCTGATCAGCGAGC -3’. Based on the hCD59 and hCD59myc plasmids, we generated three additional mutant hCD59 plasmids; hCD59 Asp24Val, hCD59</w:t>
      </w:r>
      <w:r w:rsidRPr="00005A92">
        <w:rPr>
          <w:rFonts w:asciiTheme="majorBidi" w:hAnsiTheme="majorBidi" w:cstheme="majorBidi"/>
          <w:sz w:val="24"/>
          <w:szCs w:val="24"/>
        </w:rPr>
        <w:softHyphen/>
        <w:t xml:space="preserve"> Asp24Valfs* and hCD59 Ala16Alafs* by site-directed mutagenesis using the following primer pairs for PCR reaction. hCD59 Asp24Val: forward 5’- GTTCATCTGATTTTGTTGCGTGTCTCATTAC-3’, reverse 5’-GTAATGAGACACGCAACAAAATCAGATGAAC-3’. hCD59</w:t>
      </w:r>
      <w:r w:rsidRPr="00005A92">
        <w:rPr>
          <w:rFonts w:asciiTheme="majorBidi" w:hAnsiTheme="majorBidi" w:cstheme="majorBidi"/>
          <w:sz w:val="24"/>
          <w:szCs w:val="24"/>
        </w:rPr>
        <w:softHyphen/>
        <w:t>Asp24Valfs*: forward 5’-GTTCATCTGATTTTGTGCGTGTCTCATTAC-3’, reverse 5’-TCGAGGCTGATCAGCGAGC-3’. hCD59 Ala16Alafs*: forward 5’-</w:t>
      </w:r>
      <w:r w:rsidRPr="00005A92">
        <w:rPr>
          <w:rFonts w:asciiTheme="majorBidi" w:hAnsiTheme="majorBidi" w:cstheme="majorBidi"/>
          <w:sz w:val="24"/>
          <w:szCs w:val="24"/>
        </w:rPr>
        <w:lastRenderedPageBreak/>
        <w:t xml:space="preserve">GACTGCAAAACAGCGTCAATTGTTCATC-3’, reverse 5’-GATGAACAATTGACGCTGTTTTGCAGTC-3’. The hCD59 open reading frames for all the above constructs were confirmed by DNA sequencing. The first mutation in the Japanese case (Ala16Alafs*) leads to a frameshift; thus, only the first mutation was expressed. </w:t>
      </w:r>
    </w:p>
    <w:p w:rsidR="00FA0DFB" w:rsidRDefault="00FA0DFB" w:rsidP="00FA0DFB">
      <w:pPr>
        <w:widowControl w:val="0"/>
        <w:autoSpaceDE w:val="0"/>
        <w:autoSpaceDN w:val="0"/>
        <w:bidi w:val="0"/>
        <w:adjustRightInd w:val="0"/>
        <w:spacing w:after="240" w:line="480" w:lineRule="auto"/>
        <w:rPr>
          <w:rFonts w:asciiTheme="majorBidi" w:hAnsiTheme="majorBidi" w:cstheme="majorBidi"/>
          <w:sz w:val="24"/>
          <w:szCs w:val="24"/>
        </w:rPr>
      </w:pPr>
      <w:r w:rsidRPr="00005A92">
        <w:rPr>
          <w:rFonts w:asciiTheme="majorBidi" w:hAnsiTheme="majorBidi" w:cstheme="majorBidi"/>
          <w:sz w:val="24"/>
          <w:szCs w:val="24"/>
        </w:rPr>
        <w:t xml:space="preserve">Expression of wild-type (WT) and mutant hCD59. </w:t>
      </w:r>
      <w:bookmarkStart w:id="0" w:name="_Hlk494813529"/>
      <w:r w:rsidRPr="00005A92">
        <w:rPr>
          <w:rFonts w:asciiTheme="majorBidi" w:hAnsiTheme="majorBidi" w:cstheme="majorBidi"/>
          <w:sz w:val="24"/>
          <w:szCs w:val="24"/>
        </w:rPr>
        <w:t>Transfections of HEK-293T and COS7 cells were performed using CaPO</w:t>
      </w:r>
      <w:r w:rsidRPr="00005A92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005A9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Lipofectamine</w:t>
      </w:r>
      <w:r w:rsidRPr="00005A92">
        <w:rPr>
          <w:rFonts w:asciiTheme="majorBidi" w:hAnsiTheme="majorBidi" w:cstheme="majorBidi"/>
          <w:sz w:val="24"/>
          <w:szCs w:val="24"/>
          <w:vertAlign w:val="superscript"/>
        </w:rPr>
        <w:t>TM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2000 reagent (</w:t>
      </w:r>
      <w:proofErr w:type="spellStart"/>
      <w:proofErr w:type="gramStart"/>
      <w:r w:rsidRPr="00005A92">
        <w:rPr>
          <w:rFonts w:asciiTheme="majorBidi" w:hAnsiTheme="majorBidi" w:cstheme="majorBidi"/>
          <w:sz w:val="24"/>
          <w:szCs w:val="24"/>
        </w:rPr>
        <w:t>Invitrogen</w:t>
      </w:r>
      <w:r w:rsidRPr="00005A92">
        <w:rPr>
          <w:rFonts w:asciiTheme="majorBidi" w:hAnsiTheme="majorBidi" w:cstheme="majorBidi"/>
          <w:color w:val="545454"/>
          <w:sz w:val="24"/>
          <w:szCs w:val="24"/>
          <w:shd w:val="clear" w:color="auto" w:fill="FFFFFF"/>
        </w:rPr>
        <w:t>,</w:t>
      </w:r>
      <w:r w:rsidRPr="00005A92">
        <w:rPr>
          <w:rFonts w:asciiTheme="majorBidi" w:hAnsiTheme="majorBidi" w:cstheme="majorBidi"/>
          <w:sz w:val="24"/>
          <w:szCs w:val="24"/>
        </w:rPr>
        <w:t>Carlsbad</w:t>
      </w:r>
      <w:proofErr w:type="spellEnd"/>
      <w:proofErr w:type="gramEnd"/>
      <w:r w:rsidRPr="00005A92">
        <w:rPr>
          <w:rFonts w:asciiTheme="majorBidi" w:hAnsiTheme="majorBidi" w:cstheme="majorBidi"/>
          <w:sz w:val="24"/>
          <w:szCs w:val="24"/>
        </w:rPr>
        <w:t>,</w:t>
      </w:r>
      <w:r w:rsidRPr="00005A92">
        <w:rPr>
          <w:rFonts w:asciiTheme="majorBidi" w:hAnsiTheme="majorBidi" w:cstheme="majorBidi"/>
          <w:color w:val="545454"/>
          <w:sz w:val="24"/>
          <w:szCs w:val="24"/>
          <w:shd w:val="clear" w:color="auto" w:fill="FFFFFF"/>
        </w:rPr>
        <w:t xml:space="preserve"> </w:t>
      </w:r>
      <w:r w:rsidRPr="00005A92">
        <w:rPr>
          <w:rFonts w:asciiTheme="majorBidi" w:hAnsiTheme="majorBidi" w:cstheme="majorBidi"/>
          <w:sz w:val="24"/>
          <w:szCs w:val="24"/>
        </w:rPr>
        <w:t>CA, USA), respectively.</w:t>
      </w:r>
      <w:bookmarkEnd w:id="0"/>
    </w:p>
    <w:p w:rsidR="00FA0DFB" w:rsidRPr="003307E4" w:rsidRDefault="00FA0DFB" w:rsidP="00FA0DFB">
      <w:pPr>
        <w:widowControl w:val="0"/>
        <w:autoSpaceDE w:val="0"/>
        <w:autoSpaceDN w:val="0"/>
        <w:bidi w:val="0"/>
        <w:adjustRightInd w:val="0"/>
        <w:spacing w:after="240" w:line="48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05A92">
        <w:rPr>
          <w:rFonts w:asciiTheme="majorBidi" w:hAnsiTheme="majorBidi" w:cstheme="majorBidi"/>
          <w:b/>
          <w:bCs/>
          <w:i/>
          <w:iCs/>
          <w:sz w:val="24"/>
          <w:szCs w:val="24"/>
        </w:rPr>
        <w:t>Immunofluorescence labeling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</w:t>
      </w:r>
      <w:r w:rsidRPr="00005A92">
        <w:rPr>
          <w:rFonts w:asciiTheme="majorBidi" w:hAnsiTheme="majorBidi" w:cstheme="majorBidi"/>
          <w:sz w:val="24"/>
          <w:szCs w:val="24"/>
        </w:rPr>
        <w:t>All seven anti-hCD59 antibodies were initially used for immunofluorescence labeling of live cells. 48 h after transfection, COS-7 cells grown on 13mm coverslips were washed with PBS supplemented containing calcium and magnesium (PBS++) and incubated for 45 min in 37</w:t>
      </w:r>
      <w:r w:rsidRPr="00005A92">
        <w:rPr>
          <w:rFonts w:asciiTheme="majorBidi" w:hAnsiTheme="majorBidi" w:cstheme="majorBidi"/>
          <w:sz w:val="24"/>
          <w:szCs w:val="24"/>
        </w:rPr>
        <w:sym w:font="Symbol" w:char="F0B0"/>
      </w:r>
      <w:r w:rsidRPr="00005A92">
        <w:rPr>
          <w:rFonts w:asciiTheme="majorBidi" w:hAnsiTheme="majorBidi" w:cstheme="majorBidi"/>
          <w:sz w:val="24"/>
          <w:szCs w:val="24"/>
        </w:rPr>
        <w:t xml:space="preserve">C with the above antibodies in DMEM, 1% FBS. Samples were then washed twice by PBS++ and fixed with 4% paraformaldehyde (PFA). After three additional washes, all samples were blocked for 1 h (PBS×1, 5% NGS, 0.1% glycine), incubated for 1 h at room temperature with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myc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tag antibodies diluted in blocking solution, washed, and incubated for 45 minutes at room temperature with secondary antibodies. Finally, coverslips were mounted with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elvanol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. Immunofluorescence labeling was also performed on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permeabilised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cells. After fixation, coverslips were blocked for 1 h (PBS×1, 5% NGS, 0.5% Triton X-100, 0.1% glycine), incubated for 1 h at room temperature with primary antibodies diluted in blocking solution with 0.1% Triton X-100, washed, and incubated again for 45 minutes at room temperature with secondary antibodies. Finally, slides were mounted with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elvanol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and analyzed.  </w:t>
      </w:r>
    </w:p>
    <w:p w:rsidR="00FA0DFB" w:rsidRPr="00005A92" w:rsidRDefault="00FA0DFB" w:rsidP="00FA0DFB">
      <w:pPr>
        <w:widowControl w:val="0"/>
        <w:autoSpaceDE w:val="0"/>
        <w:autoSpaceDN w:val="0"/>
        <w:bidi w:val="0"/>
        <w:adjustRightInd w:val="0"/>
        <w:spacing w:after="240" w:line="480" w:lineRule="auto"/>
        <w:rPr>
          <w:rFonts w:asciiTheme="majorBidi" w:hAnsiTheme="majorBidi" w:cstheme="majorBidi"/>
          <w:sz w:val="24"/>
          <w:szCs w:val="24"/>
        </w:rPr>
      </w:pPr>
      <w:r w:rsidRPr="00005A92">
        <w:rPr>
          <w:rFonts w:asciiTheme="majorBidi" w:hAnsiTheme="majorBidi" w:cstheme="majorBidi"/>
          <w:sz w:val="24"/>
          <w:szCs w:val="24"/>
        </w:rPr>
        <w:t xml:space="preserve">PDI staining was performed under different conditions that included methanol </w:t>
      </w:r>
      <w:bookmarkStart w:id="1" w:name="_Hlk489031943"/>
      <w:r w:rsidRPr="00005A92">
        <w:rPr>
          <w:rFonts w:asciiTheme="majorBidi" w:hAnsiTheme="majorBidi" w:cstheme="majorBidi"/>
          <w:sz w:val="24"/>
          <w:szCs w:val="24"/>
        </w:rPr>
        <w:t xml:space="preserve">permeabilization </w:t>
      </w:r>
      <w:bookmarkEnd w:id="1"/>
      <w:r w:rsidRPr="00005A92">
        <w:rPr>
          <w:rFonts w:asciiTheme="majorBidi" w:hAnsiTheme="majorBidi" w:cstheme="majorBidi"/>
          <w:sz w:val="24"/>
          <w:szCs w:val="24"/>
        </w:rPr>
        <w:t>(post-fixation, 5 minutes at -20</w:t>
      </w:r>
      <w:r w:rsidRPr="00005A92">
        <w:rPr>
          <w:rFonts w:asciiTheme="majorBidi" w:hAnsiTheme="majorBidi" w:cstheme="majorBidi"/>
          <w:sz w:val="24"/>
          <w:szCs w:val="24"/>
        </w:rPr>
        <w:sym w:font="Symbol" w:char="F0B0"/>
      </w:r>
      <w:r w:rsidRPr="00005A92">
        <w:rPr>
          <w:rFonts w:asciiTheme="majorBidi" w:hAnsiTheme="majorBidi" w:cstheme="majorBidi"/>
          <w:sz w:val="24"/>
          <w:szCs w:val="24"/>
        </w:rPr>
        <w:t>C); blocking solutions included PBS×1, 5% NGS, and 0.3% Triton X-100. First antibodies were incubated overnight at 4</w:t>
      </w:r>
      <w:r w:rsidRPr="00005A92">
        <w:rPr>
          <w:rFonts w:asciiTheme="majorBidi" w:hAnsiTheme="majorBidi" w:cstheme="majorBidi"/>
          <w:sz w:val="24"/>
          <w:szCs w:val="24"/>
        </w:rPr>
        <w:sym w:font="Symbol" w:char="F0B0"/>
      </w:r>
      <w:r w:rsidRPr="00005A92">
        <w:rPr>
          <w:rFonts w:asciiTheme="majorBidi" w:hAnsiTheme="majorBidi" w:cstheme="majorBidi"/>
          <w:sz w:val="24"/>
          <w:szCs w:val="24"/>
        </w:rPr>
        <w:t xml:space="preserve">C. Fluorescence </w:t>
      </w:r>
      <w:r w:rsidRPr="00005A92">
        <w:rPr>
          <w:rFonts w:asciiTheme="majorBidi" w:hAnsiTheme="majorBidi" w:cstheme="majorBidi"/>
          <w:sz w:val="24"/>
          <w:szCs w:val="24"/>
        </w:rPr>
        <w:lastRenderedPageBreak/>
        <w:t xml:space="preserve">images were obtained using a confocal microscope (LSM700, Carl Zeiss,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Oberkochen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, Germany) fitted with an ORCA-ER CCD camera (Hamamatsu Ltd., Hamamatsu, Japan). Images were acquired and processed using the Zen2012 (Zeiss) and Photoshop software (Adobe, San Jose, CA, USA). </w:t>
      </w:r>
    </w:p>
    <w:p w:rsidR="00FA0DFB" w:rsidRPr="00005A92" w:rsidRDefault="00FA0DFB" w:rsidP="00FA0DFB">
      <w:pPr>
        <w:widowControl w:val="0"/>
        <w:autoSpaceDE w:val="0"/>
        <w:autoSpaceDN w:val="0"/>
        <w:bidi w:val="0"/>
        <w:adjustRightInd w:val="0"/>
        <w:spacing w:after="240" w:line="480" w:lineRule="auto"/>
        <w:rPr>
          <w:rFonts w:asciiTheme="majorBidi" w:hAnsiTheme="majorBidi" w:cstheme="majorBidi"/>
          <w:sz w:val="24"/>
          <w:szCs w:val="24"/>
          <w:rtl/>
        </w:rPr>
      </w:pPr>
      <w:r w:rsidRPr="00005A92">
        <w:rPr>
          <w:rFonts w:asciiTheme="majorBidi" w:hAnsiTheme="majorBidi" w:cstheme="majorBidi"/>
          <w:sz w:val="24"/>
          <w:szCs w:val="24"/>
        </w:rPr>
        <w:t xml:space="preserve">Flow cytometry.  All seven anti-hCD59 antibodies (MEM43, </w:t>
      </w:r>
      <w:r w:rsidRPr="00005A92">
        <w:rPr>
          <w:rFonts w:asciiTheme="majorBidi" w:eastAsia="Times New Roman" w:hAnsiTheme="majorBidi" w:cstheme="majorBidi"/>
          <w:sz w:val="24"/>
          <w:szCs w:val="24"/>
        </w:rPr>
        <w:t>BRIC229,</w:t>
      </w:r>
      <w:r w:rsidRPr="00005A92">
        <w:rPr>
          <w:rFonts w:asciiTheme="majorBidi" w:hAnsiTheme="majorBidi" w:cstheme="majorBidi"/>
          <w:sz w:val="24"/>
          <w:szCs w:val="24"/>
        </w:rPr>
        <w:t xml:space="preserve"> </w:t>
      </w:r>
      <w:r w:rsidRPr="00005A92">
        <w:rPr>
          <w:rFonts w:asciiTheme="majorBidi" w:eastAsia="Times New Roman" w:hAnsiTheme="majorBidi" w:cstheme="majorBidi"/>
          <w:sz w:val="24"/>
          <w:szCs w:val="24"/>
        </w:rPr>
        <w:t>YTH53.1,</w:t>
      </w:r>
      <w:r w:rsidRPr="00005A92">
        <w:rPr>
          <w:rFonts w:asciiTheme="majorBidi" w:hAnsiTheme="majorBidi" w:cstheme="majorBidi"/>
          <w:sz w:val="24"/>
          <w:szCs w:val="24"/>
        </w:rPr>
        <w:t xml:space="preserve"> </w:t>
      </w:r>
      <w:r w:rsidRPr="00005A92">
        <w:rPr>
          <w:rFonts w:asciiTheme="majorBidi" w:eastAsia="Times New Roman" w:hAnsiTheme="majorBidi" w:cstheme="majorBidi"/>
          <w:sz w:val="24"/>
          <w:szCs w:val="24"/>
        </w:rPr>
        <w:t xml:space="preserve">A35, HC1, 1.39, </w:t>
      </w:r>
      <w:r w:rsidRPr="00005A92">
        <w:rPr>
          <w:rFonts w:asciiTheme="majorBidi" w:hAnsiTheme="majorBidi" w:cstheme="majorBidi"/>
          <w:sz w:val="24"/>
          <w:szCs w:val="24"/>
        </w:rPr>
        <w:t>rabbit polyclonal antibody) were tested for staining of lymphoblasts from both a Cys64Tyr</w:t>
      </w:r>
      <w:r w:rsidRPr="00005A92" w:rsidDel="00353412">
        <w:rPr>
          <w:rFonts w:asciiTheme="majorBidi" w:hAnsiTheme="majorBidi" w:cstheme="majorBidi"/>
          <w:sz w:val="24"/>
          <w:szCs w:val="24"/>
        </w:rPr>
        <w:t xml:space="preserve"> </w:t>
      </w:r>
      <w:r w:rsidRPr="00005A92">
        <w:rPr>
          <w:rFonts w:asciiTheme="majorBidi" w:hAnsiTheme="majorBidi" w:cstheme="majorBidi"/>
          <w:sz w:val="24"/>
          <w:szCs w:val="24"/>
        </w:rPr>
        <w:t xml:space="preserve">homozygous patient and a healthy individual. Fluorophore-coupled secondary antibodies included RPE goat anti-mouse and rabbit IgG (Jackson Laboratories). Flow cytometry detection was performed using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FACSCalibur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(Becton Dickinson, Franklin Lakes, NJ, USA).</w:t>
      </w:r>
    </w:p>
    <w:p w:rsidR="00FA0DFB" w:rsidRPr="003307E4" w:rsidRDefault="00FA0DFB" w:rsidP="00FA0DFB">
      <w:pPr>
        <w:shd w:val="clear" w:color="auto" w:fill="FFFFFF"/>
        <w:bidi w:val="0"/>
        <w:spacing w:after="240" w:line="480" w:lineRule="auto"/>
        <w:rPr>
          <w:rFonts w:asciiTheme="majorBidi" w:hAnsiTheme="majorBidi" w:cstheme="majorBidi"/>
          <w:sz w:val="24"/>
          <w:szCs w:val="24"/>
        </w:rPr>
      </w:pPr>
      <w:r w:rsidRPr="00005A92">
        <w:rPr>
          <w:rFonts w:asciiTheme="majorBidi" w:hAnsiTheme="majorBidi" w:cstheme="majorBidi"/>
          <w:b/>
          <w:bCs/>
          <w:i/>
          <w:iCs/>
          <w:sz w:val="24"/>
          <w:szCs w:val="24"/>
        </w:rPr>
        <w:t>Antibodies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005A92">
        <w:rPr>
          <w:rFonts w:asciiTheme="majorBidi" w:hAnsiTheme="majorBidi" w:cstheme="majorBidi"/>
          <w:sz w:val="24"/>
          <w:szCs w:val="24"/>
        </w:rPr>
        <w:t>The following human CD59 antibodies were used in immunofluorescence-labeling assays of overexpressing COS7 cells and detected by flow cytometry</w:t>
      </w:r>
      <w:r>
        <w:rPr>
          <w:rFonts w:asciiTheme="majorBidi" w:hAnsiTheme="majorBidi" w:cstheme="majorBidi"/>
          <w:sz w:val="24"/>
          <w:szCs w:val="24"/>
        </w:rPr>
        <w:t xml:space="preserve"> and fluorescent microscopy</w:t>
      </w:r>
      <w:r w:rsidRPr="00005A92">
        <w:rPr>
          <w:rFonts w:asciiTheme="majorBidi" w:hAnsiTheme="majorBidi" w:cstheme="majorBidi"/>
          <w:sz w:val="24"/>
          <w:szCs w:val="24"/>
        </w:rPr>
        <w:t>: mouse monoclonal antibody (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mAb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) MEM43 – </w:t>
      </w:r>
      <w:r w:rsidRPr="00005A92">
        <w:rPr>
          <w:rFonts w:asciiTheme="majorBidi" w:eastAsia="Times New Roman" w:hAnsiTheme="majorBidi" w:cstheme="majorBidi"/>
          <w:sz w:val="24"/>
          <w:szCs w:val="24"/>
        </w:rPr>
        <w:t xml:space="preserve">epitopes W40, R-53, F23 and K41; </w:t>
      </w:r>
      <w:r w:rsidRPr="00005A92">
        <w:rPr>
          <w:rFonts w:asciiTheme="majorBidi" w:hAnsiTheme="majorBidi" w:cstheme="majorBidi"/>
          <w:sz w:val="24"/>
          <w:szCs w:val="24"/>
        </w:rPr>
        <w:t xml:space="preserve">mouse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mAb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</w:t>
      </w:r>
      <w:r w:rsidRPr="00005A92">
        <w:rPr>
          <w:rFonts w:asciiTheme="majorBidi" w:eastAsia="Times New Roman" w:hAnsiTheme="majorBidi" w:cstheme="majorBidi"/>
          <w:sz w:val="24"/>
          <w:szCs w:val="24"/>
        </w:rPr>
        <w:t xml:space="preserve">BRIC229 – epitope W40; </w:t>
      </w:r>
      <w:r w:rsidRPr="00005A92">
        <w:rPr>
          <w:rFonts w:asciiTheme="majorBidi" w:hAnsiTheme="majorBidi" w:cstheme="majorBidi"/>
          <w:sz w:val="24"/>
          <w:szCs w:val="24"/>
        </w:rPr>
        <w:t xml:space="preserve">mouse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mAb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</w:t>
      </w:r>
      <w:r w:rsidRPr="00005A92">
        <w:rPr>
          <w:rFonts w:asciiTheme="majorBidi" w:eastAsia="Times New Roman" w:hAnsiTheme="majorBidi" w:cstheme="majorBidi"/>
          <w:sz w:val="24"/>
          <w:szCs w:val="24"/>
        </w:rPr>
        <w:t xml:space="preserve">YTH53.1 – epitopes W40 and R53; </w:t>
      </w:r>
      <w:r w:rsidRPr="00005A92">
        <w:rPr>
          <w:rFonts w:asciiTheme="majorBidi" w:hAnsiTheme="majorBidi" w:cstheme="majorBidi"/>
          <w:sz w:val="24"/>
          <w:szCs w:val="24"/>
        </w:rPr>
        <w:t xml:space="preserve">mouse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mAb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</w:t>
      </w:r>
      <w:r w:rsidRPr="00005A92">
        <w:rPr>
          <w:rFonts w:asciiTheme="majorBidi" w:eastAsia="Times New Roman" w:hAnsiTheme="majorBidi" w:cstheme="majorBidi"/>
          <w:sz w:val="24"/>
          <w:szCs w:val="24"/>
        </w:rPr>
        <w:t xml:space="preserve">A35 – epitopes W40, R53, L54, K38; </w:t>
      </w:r>
      <w:r w:rsidRPr="00005A92">
        <w:rPr>
          <w:rFonts w:asciiTheme="majorBidi" w:hAnsiTheme="majorBidi" w:cstheme="majorBidi"/>
          <w:sz w:val="24"/>
          <w:szCs w:val="24"/>
        </w:rPr>
        <w:t xml:space="preserve">mouse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mAb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</w:t>
      </w:r>
      <w:r w:rsidRPr="00005A92">
        <w:rPr>
          <w:rFonts w:asciiTheme="majorBidi" w:eastAsia="Times New Roman" w:hAnsiTheme="majorBidi" w:cstheme="majorBidi"/>
          <w:sz w:val="24"/>
          <w:szCs w:val="24"/>
        </w:rPr>
        <w:t xml:space="preserve">HC1 – epitopes L33, E56; </w:t>
      </w:r>
      <w:r w:rsidRPr="00005A92">
        <w:rPr>
          <w:rFonts w:asciiTheme="majorBidi" w:hAnsiTheme="majorBidi" w:cstheme="majorBidi"/>
          <w:sz w:val="24"/>
          <w:szCs w:val="24"/>
        </w:rPr>
        <w:t xml:space="preserve">mouse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mAb</w:t>
      </w:r>
      <w:proofErr w:type="spellEnd"/>
      <w:r w:rsidRPr="00005A92">
        <w:rPr>
          <w:rFonts w:asciiTheme="majorBidi" w:eastAsia="Times New Roman" w:hAnsiTheme="majorBidi" w:cstheme="majorBidi"/>
          <w:sz w:val="24"/>
          <w:szCs w:val="24"/>
        </w:rPr>
        <w:t xml:space="preserve"> 1.39 – unknown epitope; </w:t>
      </w:r>
      <w:r w:rsidRPr="00005A92">
        <w:rPr>
          <w:rFonts w:asciiTheme="majorBidi" w:hAnsiTheme="majorBidi" w:cstheme="majorBidi"/>
          <w:sz w:val="24"/>
          <w:szCs w:val="24"/>
        </w:rPr>
        <w:t xml:space="preserve">rabbit polyclonal antibody </w:t>
      </w:r>
      <w:r w:rsidRPr="00005A92">
        <w:rPr>
          <w:rFonts w:asciiTheme="majorBidi" w:eastAsia="Times New Roman" w:hAnsiTheme="majorBidi" w:cstheme="majorBidi"/>
          <w:sz w:val="24"/>
          <w:szCs w:val="24"/>
        </w:rPr>
        <w:t>– multiple epitopes.</w:t>
      </w:r>
      <w:hyperlink w:anchor="_ENREF_14" w:tooltip="Bodian, 1997 #185" w:history="1">
        <w:r>
          <w:rPr>
            <w:rFonts w:asciiTheme="majorBidi" w:hAnsiTheme="majorBidi" w:cstheme="majorBidi"/>
            <w:sz w:val="24"/>
            <w:szCs w:val="24"/>
          </w:rPr>
          <w:fldChar w:fldCharType="begin"/>
        </w:r>
        <w:r>
          <w:rPr>
            <w:rFonts w:asciiTheme="majorBidi" w:hAnsiTheme="majorBidi" w:cstheme="majorBidi"/>
            <w:sz w:val="24"/>
            <w:szCs w:val="24"/>
          </w:rPr>
          <w:instrText xml:space="preserve"> ADDIN EN.CITE &lt;EndNote&gt;&lt;Cite&gt;&lt;Author&gt;Bodian&lt;/Author&gt;&lt;Year&gt;1997&lt;/Year&gt;&lt;RecNum&gt;185&lt;/RecNum&gt;&lt;DisplayText&gt;&lt;style face="superscript"&gt;14&lt;/style&gt;&lt;/DisplayText&gt;&lt;record&gt;&lt;rec-number&gt;185&lt;/rec-number&gt;&lt;foreign-keys&gt;&lt;key app="EN" db-id="w000xt5aa2dzapewtropsexb2dzte0as2pez"&gt;185&lt;/key&gt;&lt;/foreign-keys&gt;&lt;ref-type name="Journal Article"&gt;17&lt;/ref-type&gt;&lt;contributors&gt;&lt;authors&gt;&lt;author&gt;Bodian, D. L.&lt;/author&gt;&lt;author&gt;Davis, S. J.&lt;/author&gt;&lt;author&gt;Morgan, B. P.&lt;/author&gt;&lt;author&gt;Rushmere, N. K.&lt;/author&gt;&lt;/authors&gt;&lt;/contributors&gt;&lt;auth-address&gt;Laboratory of Molecular Biophysics, Oxford, United Kingdom.&lt;/auth-address&gt;&lt;titles&gt;&lt;title&gt;Mutational analysis of the active site and antibody epitopes of the complement-inhibitory glycoprotein, CD59&lt;/title&gt;&lt;secondary-title&gt;J Exp Med&lt;/secondary-title&gt;&lt;alt-title&gt;The Journal of experimental medicine&lt;/alt-title&gt;&lt;/titles&gt;&lt;periodical&gt;&lt;full-title&gt;J Exp Med&lt;/full-title&gt;&lt;abbr-1&gt;The Journal of experimental medicine&lt;/abbr-1&gt;&lt;/periodical&gt;&lt;alt-periodical&gt;&lt;full-title&gt;J Exp Med&lt;/full-title&gt;&lt;abbr-1&gt;The Journal of experimental medicine&lt;/abbr-1&gt;&lt;/alt-periodical&gt;&lt;pages&gt;507-16&lt;/pages&gt;&lt;volume&gt;185&lt;/volume&gt;&lt;number&gt;3&lt;/number&gt;&lt;keywords&gt;&lt;keyword&gt;Amino Acid Sequence&lt;/keyword&gt;&lt;keyword&gt;Animals&lt;/keyword&gt;&lt;keyword&gt;Antigens, CD59/chemistry/immunology/*physiology&lt;/keyword&gt;&lt;keyword&gt;Binding Sites&lt;/keyword&gt;&lt;keyword&gt;CHO Cells&lt;/keyword&gt;&lt;keyword&gt;Cricetinae&lt;/keyword&gt;&lt;keyword&gt;DNA Mutational Analysis&lt;/keyword&gt;&lt;keyword&gt;*Epitopes&lt;/keyword&gt;&lt;keyword&gt;Glycosylation&lt;/keyword&gt;&lt;keyword&gt;Humans&lt;/keyword&gt;&lt;keyword&gt;Molecular Sequence Data&lt;/keyword&gt;&lt;keyword&gt;Structure-Activity Relationship&lt;/keyword&gt;&lt;/keywords&gt;&lt;dates&gt;&lt;year&gt;1997&lt;/year&gt;&lt;pub-dates&gt;&lt;date&gt;Feb 03&lt;/date&gt;&lt;/pub-dates&gt;&lt;/dates&gt;&lt;isbn&gt;0022-1007 (Print)&amp;#xD;0022-1007 (Linking)&lt;/isbn&gt;&lt;accession-num&gt;9053451&lt;/accession-num&gt;&lt;urls&gt;&lt;related-urls&gt;&lt;url&gt;http://www.ncbi.nlm.nih.gov/pubmed/9053451&lt;/url&gt;&lt;/related-urls&gt;&lt;/urls&gt;&lt;custom2&gt;2196035&lt;/custom2&gt;&lt;/record&gt;&lt;/Cite&gt;&lt;/EndNote&gt;</w:instrText>
        </w:r>
        <w:r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C009BD">
          <w:rPr>
            <w:rFonts w:asciiTheme="majorBidi" w:hAnsiTheme="majorBidi" w:cstheme="majorBidi"/>
            <w:noProof/>
            <w:sz w:val="24"/>
            <w:szCs w:val="24"/>
            <w:vertAlign w:val="superscript"/>
          </w:rPr>
          <w:t>14</w:t>
        </w:r>
        <w:r>
          <w:rPr>
            <w:rFonts w:asciiTheme="majorBidi" w:hAnsiTheme="majorBidi" w:cstheme="majorBidi"/>
            <w:sz w:val="24"/>
            <w:szCs w:val="24"/>
          </w:rPr>
          <w:fldChar w:fldCharType="end"/>
        </w:r>
      </w:hyperlink>
      <w:r w:rsidRPr="00005A92">
        <w:rPr>
          <w:rFonts w:asciiTheme="majorBidi" w:eastAsia="Times New Roman" w:hAnsiTheme="majorBidi" w:cstheme="majorBidi"/>
          <w:sz w:val="24"/>
          <w:szCs w:val="24"/>
        </w:rPr>
        <w:t xml:space="preserve"> All antibodies were obtained from Cardiff University. Additional antibodies that were used include mouse and rabbit antibodies against </w:t>
      </w:r>
      <w:proofErr w:type="spellStart"/>
      <w:r w:rsidRPr="00005A92">
        <w:rPr>
          <w:rFonts w:asciiTheme="majorBidi" w:eastAsia="Times New Roman" w:hAnsiTheme="majorBidi" w:cstheme="majorBidi"/>
          <w:sz w:val="24"/>
          <w:szCs w:val="24"/>
        </w:rPr>
        <w:t>myc</w:t>
      </w:r>
      <w:proofErr w:type="spellEnd"/>
      <w:r w:rsidRPr="00005A92">
        <w:rPr>
          <w:rFonts w:asciiTheme="majorBidi" w:eastAsia="Times New Roman" w:hAnsiTheme="majorBidi" w:cstheme="majorBidi"/>
          <w:sz w:val="24"/>
          <w:szCs w:val="24"/>
        </w:rPr>
        <w:t xml:space="preserve"> tag peptide (Merck), and rabbit polyclonal antibody against </w:t>
      </w:r>
      <w:r w:rsidRPr="00005A92">
        <w:rPr>
          <w:rFonts w:asciiTheme="majorBidi" w:hAnsiTheme="majorBidi" w:cstheme="majorBidi"/>
          <w:sz w:val="24"/>
          <w:szCs w:val="24"/>
        </w:rPr>
        <w:t>protein disulfide isomerase (</w:t>
      </w:r>
      <w:r w:rsidRPr="00005A92">
        <w:rPr>
          <w:rFonts w:asciiTheme="majorBidi" w:eastAsia="Times New Roman" w:hAnsiTheme="majorBidi" w:cstheme="majorBidi"/>
          <w:sz w:val="24"/>
          <w:szCs w:val="24"/>
        </w:rPr>
        <w:t>PDI) (Cell Signaling, Danvers, MA, USA)</w:t>
      </w:r>
      <w:r w:rsidRPr="00005A92">
        <w:rPr>
          <w:rFonts w:asciiTheme="majorBidi" w:hAnsiTheme="majorBidi" w:cstheme="majorBidi"/>
          <w:sz w:val="24"/>
          <w:szCs w:val="24"/>
        </w:rPr>
        <w:t xml:space="preserve">. Fluorophore-coupled secondary antibodies included Cy3-coupled anti-mouse, and anti-rabbit IgG, Cy5-coupled anti-mouse, and anti-rabbit IgG (Jackson Laboratories, Bar Harbor, ME, USA). Cell nuclei were stained using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Dapi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(Sigma).</w:t>
      </w:r>
    </w:p>
    <w:p w:rsidR="00FA0DFB" w:rsidRPr="00005A92" w:rsidRDefault="00FA0DFB" w:rsidP="00FA0DFB">
      <w:pPr>
        <w:widowControl w:val="0"/>
        <w:autoSpaceDE w:val="0"/>
        <w:autoSpaceDN w:val="0"/>
        <w:bidi w:val="0"/>
        <w:adjustRightInd w:val="0"/>
        <w:spacing w:after="240" w:line="480" w:lineRule="auto"/>
        <w:rPr>
          <w:rFonts w:asciiTheme="majorBidi" w:hAnsiTheme="majorBidi" w:cstheme="majorBidi"/>
          <w:sz w:val="24"/>
          <w:szCs w:val="24"/>
        </w:rPr>
      </w:pPr>
      <w:r w:rsidRPr="003307E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Sodium dodecyl </w:t>
      </w:r>
      <w:proofErr w:type="spellStart"/>
      <w:r w:rsidRPr="003307E4">
        <w:rPr>
          <w:rFonts w:asciiTheme="majorBidi" w:hAnsiTheme="majorBidi" w:cstheme="majorBidi"/>
          <w:b/>
          <w:bCs/>
          <w:i/>
          <w:iCs/>
          <w:sz w:val="24"/>
          <w:szCs w:val="24"/>
        </w:rPr>
        <w:t>sulphate</w:t>
      </w:r>
      <w:proofErr w:type="spellEnd"/>
      <w:r w:rsidRPr="003307E4">
        <w:rPr>
          <w:rFonts w:asciiTheme="majorBidi" w:hAnsiTheme="majorBidi" w:cstheme="majorBidi"/>
          <w:b/>
          <w:bCs/>
          <w:i/>
          <w:iCs/>
          <w:sz w:val="24"/>
          <w:szCs w:val="24"/>
        </w:rPr>
        <w:t>-polyacrylamide gel electrophoresis (SDS-PAGE) and Western blotting</w:t>
      </w:r>
      <w:r w:rsidRPr="003307E4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005A92">
        <w:rPr>
          <w:rFonts w:asciiTheme="majorBidi" w:hAnsiTheme="majorBidi" w:cstheme="majorBidi"/>
          <w:sz w:val="24"/>
          <w:szCs w:val="24"/>
        </w:rPr>
        <w:t xml:space="preserve">  Transfected HEK-293T cells were lysed directly by X3 sample buffer. Cell lysates </w:t>
      </w:r>
      <w:r w:rsidRPr="00005A92">
        <w:rPr>
          <w:rFonts w:asciiTheme="majorBidi" w:hAnsiTheme="majorBidi" w:cstheme="majorBidi"/>
          <w:sz w:val="24"/>
          <w:szCs w:val="24"/>
        </w:rPr>
        <w:lastRenderedPageBreak/>
        <w:t>were separated on 15% polyacrylamide gels and transferred to polyvinylidene difluoride (PVDF) membranes. After blocking with 3% BSA, membranes were incubated with mouse anti-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myc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antibody followed by extensive washes and incubation with HRP-conjugated anti-mouse antibody. ECL reaction imaging was performed with the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ChemiDoc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MP System (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BioRad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>, Hercules, CA, USA). For glycosylation pattern examination, hCD59 was initially immunoprecipitated from cell lysates using anti-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myc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antibodies followed by denaturing of the isolated immunocomplexes and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deglycosylation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of high mannose structures using endoglycosidase H (Endo H) (New England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BioLabs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>) for 1 h at 37</w:t>
      </w:r>
      <w:r w:rsidRPr="00005A92">
        <w:rPr>
          <w:rFonts w:asciiTheme="majorBidi" w:hAnsiTheme="majorBidi" w:cstheme="majorBidi"/>
          <w:sz w:val="24"/>
          <w:szCs w:val="24"/>
        </w:rPr>
        <w:sym w:font="Symbol" w:char="F0B0"/>
      </w:r>
      <w:r w:rsidRPr="00005A92">
        <w:rPr>
          <w:rFonts w:asciiTheme="majorBidi" w:hAnsiTheme="majorBidi" w:cstheme="majorBidi"/>
          <w:sz w:val="24"/>
          <w:szCs w:val="24"/>
        </w:rPr>
        <w:t>C.</w:t>
      </w:r>
    </w:p>
    <w:p w:rsidR="00FA0DFB" w:rsidRDefault="00FA0DFB" w:rsidP="00FA0DFB">
      <w:pPr>
        <w:widowControl w:val="0"/>
        <w:autoSpaceDE w:val="0"/>
        <w:autoSpaceDN w:val="0"/>
        <w:bidi w:val="0"/>
        <w:adjustRightInd w:val="0"/>
        <w:spacing w:after="240" w:line="48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FA0DFB" w:rsidRPr="00005A92" w:rsidRDefault="00FA0DFB" w:rsidP="00FA0DFB">
      <w:pPr>
        <w:widowControl w:val="0"/>
        <w:autoSpaceDE w:val="0"/>
        <w:autoSpaceDN w:val="0"/>
        <w:bidi w:val="0"/>
        <w:adjustRightInd w:val="0"/>
        <w:spacing w:after="240" w:line="480" w:lineRule="auto"/>
        <w:rPr>
          <w:rFonts w:asciiTheme="majorBidi" w:eastAsia="MS Mincho" w:hAnsiTheme="majorBidi" w:cstheme="majorBidi"/>
          <w:sz w:val="24"/>
          <w:szCs w:val="24"/>
          <w:lang w:bidi="ar-SA"/>
        </w:rPr>
      </w:pPr>
      <w:r w:rsidRPr="003307E4">
        <w:rPr>
          <w:rFonts w:asciiTheme="majorBidi" w:hAnsiTheme="majorBidi" w:cstheme="majorBidi"/>
          <w:b/>
          <w:bCs/>
          <w:i/>
          <w:iCs/>
          <w:sz w:val="24"/>
          <w:szCs w:val="24"/>
        </w:rPr>
        <w:t>In vitro cell lysis assay assessing MAC</w:t>
      </w:r>
      <w:r w:rsidRPr="003307E4">
        <w:rPr>
          <w:rFonts w:asciiTheme="majorBidi" w:eastAsia="MS Mincho" w:hAnsiTheme="majorBidi" w:cstheme="majorBidi"/>
          <w:b/>
          <w:bCs/>
          <w:i/>
          <w:iCs/>
          <w:sz w:val="24"/>
          <w:szCs w:val="24"/>
          <w:lang w:bidi="ar-SA"/>
        </w:rPr>
        <w:t xml:space="preserve"> attack in WT and mutants.</w:t>
      </w:r>
      <w:r w:rsidRPr="00005A92">
        <w:rPr>
          <w:rFonts w:asciiTheme="majorBidi" w:eastAsia="MS Mincho" w:hAnsiTheme="majorBidi" w:cstheme="majorBidi"/>
          <w:sz w:val="24"/>
          <w:szCs w:val="24"/>
          <w:lang w:bidi="ar-SA"/>
        </w:rPr>
        <w:t xml:space="preserve">  </w:t>
      </w:r>
      <w:r w:rsidRPr="00005A92">
        <w:rPr>
          <w:rFonts w:asciiTheme="majorBidi" w:hAnsiTheme="majorBidi" w:cstheme="majorBidi"/>
          <w:sz w:val="24"/>
          <w:szCs w:val="24"/>
        </w:rPr>
        <w:t xml:space="preserve">Transfections of CHO cells were done using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Lipofectamine</w:t>
      </w:r>
      <w:r w:rsidRPr="00005A92">
        <w:rPr>
          <w:rFonts w:asciiTheme="majorBidi" w:hAnsiTheme="majorBidi" w:cstheme="majorBidi"/>
          <w:sz w:val="24"/>
          <w:szCs w:val="24"/>
          <w:vertAlign w:val="superscript"/>
        </w:rPr>
        <w:t>TM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2000 reagent. 24 h post transfection, cells were harvested and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replated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on 24-well plates (3×10</w:t>
      </w:r>
      <w:r w:rsidRPr="00005A92"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Pr="00005A92">
        <w:rPr>
          <w:rFonts w:asciiTheme="majorBidi" w:hAnsiTheme="majorBidi" w:cstheme="majorBidi"/>
          <w:sz w:val="24"/>
          <w:szCs w:val="24"/>
        </w:rPr>
        <w:t xml:space="preserve"> cells in 1ml per well) and left until the plates were confluent. Cells were then washed twice with serum-free medium, incubated in 0.25 ml complete medium (7.5% FCS heat-inactivated) containing a 1/750 dilution of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calcein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>-AM (Molecular Probes, Eugene, OR, USA, 1 mg/ml stock in DMSO) for 1 h at 37</w:t>
      </w:r>
      <w:r w:rsidRPr="00005A92">
        <w:rPr>
          <w:rFonts w:asciiTheme="majorBidi" w:hAnsiTheme="majorBidi" w:cstheme="majorBidi"/>
          <w:sz w:val="24"/>
          <w:szCs w:val="24"/>
        </w:rPr>
        <w:sym w:font="Symbol" w:char="F0B0"/>
      </w:r>
      <w:r w:rsidRPr="00005A92">
        <w:rPr>
          <w:rFonts w:asciiTheme="majorBidi" w:hAnsiTheme="majorBidi" w:cstheme="majorBidi"/>
          <w:sz w:val="24"/>
          <w:szCs w:val="24"/>
        </w:rPr>
        <w:t>C. After one washing with PBS, duplicate wells were incubated with 1/5 dilution of normal human serum (NHS) and 40μl of rabbit anti-CHO IgG. After incubation for 1 h at 37</w:t>
      </w:r>
      <w:r w:rsidRPr="00005A92">
        <w:rPr>
          <w:rFonts w:asciiTheme="majorBidi" w:hAnsiTheme="majorBidi" w:cstheme="majorBidi"/>
          <w:sz w:val="24"/>
          <w:szCs w:val="24"/>
        </w:rPr>
        <w:sym w:font="Symbol" w:char="F0B0"/>
      </w:r>
      <w:r w:rsidRPr="00005A92">
        <w:rPr>
          <w:rFonts w:asciiTheme="majorBidi" w:hAnsiTheme="majorBidi" w:cstheme="majorBidi"/>
          <w:sz w:val="24"/>
          <w:szCs w:val="24"/>
        </w:rPr>
        <w:t xml:space="preserve">C, all fluid was removed from the cells and transferred to 96-well plates for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calcein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measurement.</w:t>
      </w:r>
    </w:p>
    <w:p w:rsidR="00FA0DFB" w:rsidRPr="00005A92" w:rsidRDefault="00FA0DFB" w:rsidP="00FA0DFB">
      <w:pPr>
        <w:widowControl w:val="0"/>
        <w:autoSpaceDE w:val="0"/>
        <w:autoSpaceDN w:val="0"/>
        <w:bidi w:val="0"/>
        <w:adjustRightInd w:val="0"/>
        <w:spacing w:after="240" w:line="480" w:lineRule="auto"/>
        <w:rPr>
          <w:rFonts w:asciiTheme="majorBidi" w:hAnsiTheme="majorBidi" w:cstheme="majorBidi"/>
          <w:sz w:val="24"/>
          <w:szCs w:val="24"/>
        </w:rPr>
      </w:pPr>
      <w:r w:rsidRPr="003307E4">
        <w:rPr>
          <w:rFonts w:asciiTheme="majorBidi" w:hAnsiTheme="majorBidi" w:cstheme="majorBidi"/>
          <w:b/>
          <w:bCs/>
          <w:i/>
          <w:iCs/>
          <w:sz w:val="24"/>
          <w:szCs w:val="24"/>
        </w:rPr>
        <w:t>Immunoprecipitation.</w:t>
      </w:r>
      <w:r w:rsidRPr="00005A92">
        <w:rPr>
          <w:rFonts w:asciiTheme="majorBidi" w:hAnsiTheme="majorBidi" w:cstheme="majorBidi"/>
          <w:sz w:val="24"/>
          <w:szCs w:val="24"/>
        </w:rPr>
        <w:t xml:space="preserve">  For conditional medium and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deglycosylation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 xml:space="preserve"> samples, 20μl of goat anti-mouse IgG-agarose beads (Sigma) were mixed with 4μl of mouse antibody against the </w:t>
      </w:r>
      <w:proofErr w:type="spellStart"/>
      <w:r w:rsidRPr="00005A92">
        <w:rPr>
          <w:rFonts w:asciiTheme="majorBidi" w:hAnsiTheme="majorBidi" w:cstheme="majorBidi"/>
          <w:sz w:val="24"/>
          <w:szCs w:val="24"/>
        </w:rPr>
        <w:t>myc</w:t>
      </w:r>
      <w:proofErr w:type="spellEnd"/>
      <w:r w:rsidRPr="00005A92">
        <w:rPr>
          <w:rFonts w:asciiTheme="majorBidi" w:hAnsiTheme="majorBidi" w:cstheme="majorBidi"/>
          <w:sz w:val="24"/>
          <w:szCs w:val="24"/>
        </w:rPr>
        <w:t>-tag peptide</w:t>
      </w:r>
      <w:r w:rsidRPr="00005A92" w:rsidDel="00A33E77">
        <w:rPr>
          <w:rFonts w:asciiTheme="majorBidi" w:hAnsiTheme="majorBidi" w:cstheme="majorBidi"/>
          <w:sz w:val="24"/>
          <w:szCs w:val="24"/>
        </w:rPr>
        <w:t xml:space="preserve"> </w:t>
      </w:r>
      <w:r w:rsidRPr="00005A92">
        <w:rPr>
          <w:rFonts w:asciiTheme="majorBidi" w:hAnsiTheme="majorBidi" w:cstheme="majorBidi"/>
          <w:sz w:val="24"/>
          <w:szCs w:val="24"/>
        </w:rPr>
        <w:t>by rotating for 30 minutes at room temperature. Samples were then added and rotated overnight at 4</w:t>
      </w:r>
      <w:r w:rsidRPr="00005A92">
        <w:rPr>
          <w:rFonts w:asciiTheme="majorBidi" w:hAnsiTheme="majorBidi" w:cstheme="majorBidi"/>
          <w:sz w:val="24"/>
          <w:szCs w:val="24"/>
        </w:rPr>
        <w:sym w:font="Symbol" w:char="F0B0"/>
      </w:r>
      <w:r w:rsidRPr="00005A92">
        <w:rPr>
          <w:rFonts w:asciiTheme="majorBidi" w:hAnsiTheme="majorBidi" w:cstheme="majorBidi"/>
          <w:sz w:val="24"/>
          <w:szCs w:val="24"/>
        </w:rPr>
        <w:t>C. After aspiration and washing with PBS and PBS 0.1% Triton X-100, 20μl of sample buffer was added to the pelleted beads and boiled for 4 minutes at 95</w:t>
      </w:r>
      <w:r w:rsidRPr="00005A92">
        <w:rPr>
          <w:rFonts w:asciiTheme="majorBidi" w:hAnsiTheme="majorBidi" w:cstheme="majorBidi"/>
          <w:sz w:val="24"/>
          <w:szCs w:val="24"/>
        </w:rPr>
        <w:sym w:font="Symbol" w:char="F0B0"/>
      </w:r>
      <w:r w:rsidRPr="00005A92">
        <w:rPr>
          <w:rFonts w:asciiTheme="majorBidi" w:hAnsiTheme="majorBidi" w:cstheme="majorBidi"/>
          <w:sz w:val="24"/>
          <w:szCs w:val="24"/>
        </w:rPr>
        <w:t>C prior to separation of the supernatants on SDS-PAGE.</w:t>
      </w:r>
    </w:p>
    <w:p w:rsidR="00FA0DFB" w:rsidRDefault="00FA0DFB" w:rsidP="00FA0DFB">
      <w:pPr>
        <w:widowControl w:val="0"/>
        <w:autoSpaceDE w:val="0"/>
        <w:autoSpaceDN w:val="0"/>
        <w:bidi w:val="0"/>
        <w:adjustRightInd w:val="0"/>
        <w:spacing w:after="240" w:line="480" w:lineRule="auto"/>
        <w:rPr>
          <w:rFonts w:asciiTheme="majorBidi" w:hAnsiTheme="majorBidi" w:cstheme="majorBidi"/>
          <w:sz w:val="24"/>
          <w:szCs w:val="24"/>
        </w:rPr>
      </w:pPr>
      <w:bookmarkStart w:id="2" w:name="_GoBack"/>
      <w:bookmarkEnd w:id="2"/>
    </w:p>
    <w:p w:rsidR="00FA0DFB" w:rsidRPr="00005A92" w:rsidRDefault="00FA0DFB" w:rsidP="00FA0DFB">
      <w:pPr>
        <w:widowControl w:val="0"/>
        <w:autoSpaceDE w:val="0"/>
        <w:autoSpaceDN w:val="0"/>
        <w:bidi w:val="0"/>
        <w:adjustRightInd w:val="0"/>
        <w:spacing w:after="240" w:line="480" w:lineRule="auto"/>
        <w:rPr>
          <w:rFonts w:asciiTheme="majorBidi" w:hAnsiTheme="majorBidi" w:cstheme="majorBidi"/>
          <w:sz w:val="24"/>
          <w:szCs w:val="24"/>
        </w:rPr>
      </w:pPr>
    </w:p>
    <w:p w:rsidR="00D012AB" w:rsidRDefault="00D012AB" w:rsidP="00FA0DFB">
      <w:pPr>
        <w:bidi w:val="0"/>
      </w:pPr>
    </w:p>
    <w:sectPr w:rsidR="00D012AB" w:rsidSect="006000A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FB"/>
    <w:rsid w:val="003C5127"/>
    <w:rsid w:val="006000A4"/>
    <w:rsid w:val="00796CD1"/>
    <w:rsid w:val="00D012AB"/>
    <w:rsid w:val="00FA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896A"/>
  <w15:chartTrackingRefBased/>
  <w15:docId w15:val="{F37A0365-8419-409D-9A3F-37F919C8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DFB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1372</Words>
  <Characters>8072</Characters>
  <Application>Microsoft Office Word</Application>
  <DocSecurity>0</DocSecurity>
  <Lines>161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Dror Mevorach</dc:creator>
  <cp:keywords/>
  <dc:description/>
  <cp:lastModifiedBy>Dror Mevorach</cp:lastModifiedBy>
  <cp:revision>1</cp:revision>
  <dcterms:created xsi:type="dcterms:W3CDTF">2018-03-21T22:24:00Z</dcterms:created>
  <dcterms:modified xsi:type="dcterms:W3CDTF">2018-03-21T22:47:00Z</dcterms:modified>
</cp:coreProperties>
</file>