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B00AA" w14:textId="77777777" w:rsidR="00C31396" w:rsidRDefault="00C31396" w:rsidP="004C1847">
      <w:pPr>
        <w:spacing w:line="480" w:lineRule="auto"/>
        <w:jc w:val="both"/>
        <w:rPr>
          <w:rFonts w:ascii="Times New Roman" w:hAnsi="Times New Roman" w:cs="Times New Roman"/>
          <w:b/>
          <w:lang w:val="en-US"/>
        </w:rPr>
      </w:pPr>
      <w:r>
        <w:rPr>
          <w:rFonts w:ascii="Times New Roman" w:hAnsi="Times New Roman" w:cs="Times New Roman"/>
          <w:b/>
          <w:lang w:val="en-US"/>
        </w:rPr>
        <w:t>Appendix 1.</w:t>
      </w:r>
    </w:p>
    <w:p w14:paraId="67454270" w14:textId="77777777" w:rsidR="00C31396" w:rsidRPr="00B94D5A" w:rsidRDefault="00C31396" w:rsidP="004C1847">
      <w:pPr>
        <w:spacing w:line="480" w:lineRule="auto"/>
        <w:jc w:val="both"/>
        <w:rPr>
          <w:rFonts w:ascii="Times New Roman" w:hAnsi="Times New Roman" w:cs="Times New Roman"/>
          <w:b/>
          <w:lang w:val="en-US"/>
        </w:rPr>
      </w:pPr>
      <w:r w:rsidRPr="00B94D5A">
        <w:rPr>
          <w:rFonts w:ascii="Times New Roman" w:hAnsi="Times New Roman" w:cs="Times New Roman"/>
          <w:b/>
          <w:lang w:val="en-US"/>
        </w:rPr>
        <w:t>T</w:t>
      </w:r>
      <w:r w:rsidR="001A4F11">
        <w:rPr>
          <w:rFonts w:ascii="Times New Roman" w:hAnsi="Times New Roman" w:cs="Times New Roman"/>
          <w:b/>
          <w:lang w:val="en-US"/>
        </w:rPr>
        <w:t>ranscranial magnetic stimulation</w:t>
      </w:r>
    </w:p>
    <w:p w14:paraId="6712A3DE" w14:textId="42CE87C3" w:rsidR="00C31396" w:rsidRPr="00B94D5A" w:rsidRDefault="00C31396" w:rsidP="004C1847">
      <w:pPr>
        <w:spacing w:line="480" w:lineRule="auto"/>
        <w:jc w:val="both"/>
        <w:rPr>
          <w:lang w:val="en-US"/>
        </w:rPr>
      </w:pPr>
      <w:r w:rsidRPr="00B94D5A">
        <w:rPr>
          <w:rFonts w:ascii="Times New Roman" w:hAnsi="Times New Roman" w:cs="Times New Roman"/>
          <w:lang w:val="en-US"/>
        </w:rPr>
        <w:t>We investigated reorganization (either ipsilateral or contralateral or both) of the corticospinal tract in two patients (</w:t>
      </w:r>
      <w:r w:rsidR="001A4F11">
        <w:rPr>
          <w:rFonts w:ascii="Times New Roman" w:hAnsi="Times New Roman" w:cs="Times New Roman"/>
          <w:lang w:val="en-US"/>
        </w:rPr>
        <w:t>patient I:</w:t>
      </w:r>
      <w:r w:rsidRPr="00B94D5A">
        <w:rPr>
          <w:rFonts w:ascii="Times New Roman" w:hAnsi="Times New Roman" w:cs="Times New Roman"/>
          <w:lang w:val="en-US"/>
        </w:rPr>
        <w:t>1 and 3) using Transcranial Magnetic Stimulation (TMS). However, unlike previously published studies</w:t>
      </w:r>
      <w:r w:rsidR="003E11D6">
        <w:rPr>
          <w:rFonts w:ascii="Times New Roman" w:hAnsi="Times New Roman" w:cs="Times New Roman"/>
          <w:lang w:val="en-US"/>
        </w:rPr>
        <w:t xml:space="preserve"> (e1-e3)</w:t>
      </w:r>
      <w:r w:rsidRPr="00B94D5A">
        <w:rPr>
          <w:rFonts w:ascii="Times New Roman" w:hAnsi="Times New Roman" w:cs="Times New Roman"/>
          <w:lang w:val="en-US"/>
        </w:rPr>
        <w:t>, we used navigated TMS (</w:t>
      </w:r>
      <w:proofErr w:type="spellStart"/>
      <w:r w:rsidRPr="00B94D5A">
        <w:rPr>
          <w:rFonts w:ascii="Times New Roman" w:hAnsi="Times New Roman" w:cs="Times New Roman"/>
          <w:lang w:val="en-US"/>
        </w:rPr>
        <w:t>nTMS</w:t>
      </w:r>
      <w:proofErr w:type="spellEnd"/>
      <w:r w:rsidRPr="00B94D5A">
        <w:rPr>
          <w:rFonts w:ascii="Times New Roman" w:hAnsi="Times New Roman" w:cs="Times New Roman"/>
          <w:lang w:val="en-US"/>
        </w:rPr>
        <w:t xml:space="preserve">) </w:t>
      </w:r>
      <w:r w:rsidRPr="00B94D5A">
        <w:rPr>
          <w:rFonts w:ascii="Times New Roman" w:hAnsi="Times New Roman" w:cs="Times New Roman"/>
          <w:color w:val="000000" w:themeColor="text1"/>
          <w:lang w:val="en-US"/>
        </w:rPr>
        <w:t xml:space="preserve">(NBS, </w:t>
      </w:r>
      <w:proofErr w:type="spellStart"/>
      <w:r w:rsidRPr="00B94D5A">
        <w:rPr>
          <w:rFonts w:ascii="Times New Roman" w:hAnsi="Times New Roman" w:cs="Times New Roman"/>
          <w:color w:val="000000" w:themeColor="text1"/>
          <w:lang w:val="en-US"/>
        </w:rPr>
        <w:t>Nexstim</w:t>
      </w:r>
      <w:proofErr w:type="spellEnd"/>
      <w:r w:rsidRPr="00B94D5A">
        <w:rPr>
          <w:rFonts w:ascii="Times New Roman" w:hAnsi="Times New Roman" w:cs="Times New Roman"/>
          <w:color w:val="000000" w:themeColor="text1"/>
          <w:lang w:val="en-US"/>
        </w:rPr>
        <w:t>, Finland)</w:t>
      </w:r>
      <w:r w:rsidRPr="00B94D5A">
        <w:rPr>
          <w:rFonts w:ascii="Times New Roman" w:hAnsi="Times New Roman" w:cs="Times New Roman"/>
          <w:lang w:val="en-US"/>
        </w:rPr>
        <w:t xml:space="preserve">, a method where </w:t>
      </w:r>
      <w:r w:rsidRPr="00B94D5A">
        <w:rPr>
          <w:rFonts w:ascii="Times New Roman" w:hAnsi="Times New Roman" w:cs="Times New Roman"/>
          <w:color w:val="000000" w:themeColor="text1"/>
          <w:lang w:val="en-US"/>
        </w:rPr>
        <w:t xml:space="preserve">subject specific structural MRI </w:t>
      </w:r>
      <w:r w:rsidRPr="00B94D5A">
        <w:rPr>
          <w:rFonts w:ascii="Times New Roman" w:hAnsi="Times New Roman" w:cs="Times New Roman"/>
          <w:lang w:val="en-US" w:bidi="bn-IN"/>
        </w:rPr>
        <w:t xml:space="preserve">images are combined with conventional TMS for </w:t>
      </w:r>
      <w:r w:rsidRPr="00B94D5A">
        <w:rPr>
          <w:rFonts w:ascii="Times New Roman" w:hAnsi="Times New Roman" w:cs="Times New Roman"/>
          <w:color w:val="000000" w:themeColor="text1"/>
          <w:lang w:val="en-US"/>
        </w:rPr>
        <w:t>stereotactic navigation</w:t>
      </w:r>
      <w:r w:rsidRPr="00B94D5A">
        <w:rPr>
          <w:rFonts w:ascii="Times New Roman" w:hAnsi="Times New Roman" w:cs="Times New Roman"/>
          <w:lang w:val="en-US" w:bidi="bn-IN"/>
        </w:rPr>
        <w:t xml:space="preserve">, allowing </w:t>
      </w:r>
      <w:r w:rsidRPr="00B94D5A">
        <w:rPr>
          <w:rFonts w:ascii="Times New Roman" w:hAnsi="Times New Roman" w:cs="Times New Roman"/>
          <w:lang w:val="en-US"/>
        </w:rPr>
        <w:t>precise stimulation of motor eloquent cortex at millimeter level spatial resolution</w:t>
      </w:r>
      <w:r w:rsidR="003E11D6">
        <w:rPr>
          <w:rFonts w:ascii="Times New Roman" w:hAnsi="Times New Roman" w:cs="Times New Roman"/>
          <w:lang w:val="en-US"/>
        </w:rPr>
        <w:t xml:space="preserve"> (e-4, e-5)</w:t>
      </w:r>
      <w:r w:rsidRPr="00B94D5A">
        <w:rPr>
          <w:rFonts w:ascii="Times New Roman" w:hAnsi="Times New Roman" w:cs="Times New Roman"/>
          <w:lang w:val="en-US"/>
        </w:rPr>
        <w:t xml:space="preserve"> </w:t>
      </w:r>
      <w:r w:rsidR="003E11D6">
        <w:rPr>
          <w:rFonts w:ascii="Times New Roman" w:hAnsi="Times New Roman" w:cs="Times New Roman"/>
          <w:lang w:val="en-US"/>
        </w:rPr>
        <w:t>)</w:t>
      </w:r>
      <w:r w:rsidRPr="00B94D5A">
        <w:rPr>
          <w:rFonts w:ascii="Times New Roman" w:hAnsi="Times New Roman" w:cs="Times New Roman"/>
          <w:lang w:val="en-US"/>
        </w:rPr>
        <w:t xml:space="preserve">. </w:t>
      </w:r>
      <w:r w:rsidRPr="00B94D5A">
        <w:rPr>
          <w:rFonts w:ascii="Times New Roman" w:hAnsi="Times New Roman" w:cs="Times New Roman"/>
          <w:color w:val="000000" w:themeColor="text1"/>
          <w:lang w:val="en-US"/>
        </w:rPr>
        <w:t xml:space="preserve">MEP (Motor Evoked Potential) recorded, using surface EMG electrodes attached to muscles both contralateral and ipsilateral to the stimulated hemisphere. Initially the </w:t>
      </w:r>
      <w:r w:rsidRPr="00B94D5A">
        <w:rPr>
          <w:rFonts w:ascii="Times New Roman" w:hAnsi="Times New Roman" w:cs="Times New Roman"/>
          <w:color w:val="000000" w:themeColor="text1"/>
          <w:lang w:val="en-GB"/>
        </w:rPr>
        <w:t>resting motor threshold</w:t>
      </w:r>
      <w:r w:rsidRPr="00B94D5A">
        <w:rPr>
          <w:rFonts w:ascii="Times New Roman" w:hAnsi="Times New Roman" w:cs="Times New Roman"/>
          <w:color w:val="000000" w:themeColor="text1"/>
          <w:lang w:val="en-US"/>
        </w:rPr>
        <w:t xml:space="preserve"> (</w:t>
      </w:r>
      <w:proofErr w:type="spellStart"/>
      <w:r w:rsidRPr="00B94D5A">
        <w:rPr>
          <w:rFonts w:ascii="Times New Roman" w:hAnsi="Times New Roman" w:cs="Times New Roman"/>
          <w:color w:val="000000" w:themeColor="text1"/>
          <w:lang w:val="en-US"/>
        </w:rPr>
        <w:t>rMT</w:t>
      </w:r>
      <w:proofErr w:type="spellEnd"/>
      <w:r w:rsidRPr="00B94D5A">
        <w:rPr>
          <w:rFonts w:ascii="Times New Roman" w:hAnsi="Times New Roman" w:cs="Times New Roman"/>
          <w:color w:val="000000" w:themeColor="text1"/>
          <w:lang w:val="en-US"/>
        </w:rPr>
        <w:t xml:space="preserve">) was estimated and used as a marker for cortical excitability, measured for respective hemispheres. Motor mapping were done at 110% of </w:t>
      </w:r>
      <w:proofErr w:type="spellStart"/>
      <w:r w:rsidRPr="00B94D5A">
        <w:rPr>
          <w:rFonts w:ascii="Times New Roman" w:hAnsi="Times New Roman" w:cs="Times New Roman"/>
          <w:color w:val="000000" w:themeColor="text1"/>
          <w:lang w:val="en-US"/>
        </w:rPr>
        <w:t>rMT</w:t>
      </w:r>
      <w:proofErr w:type="spellEnd"/>
      <w:r w:rsidRPr="00B94D5A">
        <w:rPr>
          <w:rFonts w:ascii="Times New Roman" w:hAnsi="Times New Roman" w:cs="Times New Roman"/>
          <w:color w:val="000000" w:themeColor="text1"/>
          <w:lang w:val="en-US"/>
        </w:rPr>
        <w:t>.</w:t>
      </w:r>
    </w:p>
    <w:p w14:paraId="73AB49B1" w14:textId="2475B8B2" w:rsidR="001A0E3A" w:rsidRDefault="00C31396" w:rsidP="004C1847">
      <w:pPr>
        <w:spacing w:line="480" w:lineRule="auto"/>
        <w:jc w:val="both"/>
        <w:rPr>
          <w:rFonts w:ascii="Times New Roman" w:hAnsi="Times New Roman" w:cs="Times New Roman"/>
          <w:lang w:val="en-US"/>
        </w:rPr>
      </w:pPr>
      <w:r w:rsidRPr="00B94D5A">
        <w:rPr>
          <w:rFonts w:ascii="Times New Roman" w:hAnsi="Times New Roman" w:cs="Times New Roman"/>
          <w:lang w:val="en-US"/>
        </w:rPr>
        <w:t xml:space="preserve">In </w:t>
      </w:r>
      <w:r w:rsidR="00777E32">
        <w:rPr>
          <w:rFonts w:ascii="Times New Roman" w:hAnsi="Times New Roman" w:cs="Times New Roman"/>
          <w:lang w:val="en-US"/>
        </w:rPr>
        <w:t xml:space="preserve">both </w:t>
      </w:r>
      <w:r w:rsidRPr="00B94D5A">
        <w:rPr>
          <w:rFonts w:ascii="Times New Roman" w:hAnsi="Times New Roman" w:cs="Times New Roman"/>
          <w:lang w:val="en-US"/>
        </w:rPr>
        <w:t>cases (</w:t>
      </w:r>
      <w:r w:rsidR="001A1052">
        <w:rPr>
          <w:rFonts w:ascii="Times New Roman" w:hAnsi="Times New Roman" w:cs="Times New Roman"/>
          <w:lang w:val="en-US"/>
        </w:rPr>
        <w:t>P</w:t>
      </w:r>
      <w:r w:rsidR="001A4F11">
        <w:rPr>
          <w:rFonts w:ascii="Times New Roman" w:hAnsi="Times New Roman" w:cs="Times New Roman"/>
          <w:lang w:val="en-US"/>
        </w:rPr>
        <w:t>atient</w:t>
      </w:r>
      <w:r w:rsidRPr="00B94D5A">
        <w:rPr>
          <w:rFonts w:ascii="Times New Roman" w:hAnsi="Times New Roman" w:cs="Times New Roman"/>
          <w:lang w:val="en-US"/>
        </w:rPr>
        <w:t xml:space="preserve"> </w:t>
      </w:r>
      <w:r w:rsidR="001A4F11">
        <w:rPr>
          <w:rFonts w:ascii="Times New Roman" w:hAnsi="Times New Roman" w:cs="Times New Roman"/>
          <w:lang w:val="en-US"/>
        </w:rPr>
        <w:t>I:</w:t>
      </w:r>
      <w:r w:rsidRPr="00B94D5A">
        <w:rPr>
          <w:rFonts w:ascii="Times New Roman" w:hAnsi="Times New Roman" w:cs="Times New Roman"/>
          <w:lang w:val="en-US"/>
        </w:rPr>
        <w:t xml:space="preserve">1 </w:t>
      </w:r>
      <w:r w:rsidR="00F30F1A">
        <w:rPr>
          <w:rFonts w:ascii="Times New Roman" w:hAnsi="Times New Roman" w:cs="Times New Roman"/>
          <w:lang w:val="en-US"/>
        </w:rPr>
        <w:t xml:space="preserve">in </w:t>
      </w:r>
      <w:r w:rsidR="001A1052">
        <w:rPr>
          <w:rFonts w:ascii="Times New Roman" w:hAnsi="Times New Roman" w:cs="Times New Roman"/>
          <w:lang w:val="en-US"/>
        </w:rPr>
        <w:t>F</w:t>
      </w:r>
      <w:r w:rsidR="00F30F1A">
        <w:rPr>
          <w:rFonts w:ascii="Times New Roman" w:hAnsi="Times New Roman" w:cs="Times New Roman"/>
          <w:lang w:val="en-US"/>
        </w:rPr>
        <w:t xml:space="preserve">amily 1 </w:t>
      </w:r>
      <w:r w:rsidRPr="00B94D5A">
        <w:rPr>
          <w:rFonts w:ascii="Times New Roman" w:hAnsi="Times New Roman" w:cs="Times New Roman"/>
          <w:lang w:val="en-US"/>
        </w:rPr>
        <w:t xml:space="preserve">and </w:t>
      </w:r>
      <w:r w:rsidR="00045957">
        <w:rPr>
          <w:rFonts w:ascii="Times New Roman" w:hAnsi="Times New Roman" w:cs="Times New Roman"/>
          <w:lang w:val="en-US"/>
        </w:rPr>
        <w:t xml:space="preserve">Patient </w:t>
      </w:r>
      <w:r w:rsidR="00F30F1A">
        <w:rPr>
          <w:rFonts w:ascii="Times New Roman" w:hAnsi="Times New Roman" w:cs="Times New Roman"/>
          <w:lang w:val="en-US"/>
        </w:rPr>
        <w:t>6</w:t>
      </w:r>
      <w:r w:rsidRPr="00B94D5A">
        <w:rPr>
          <w:rFonts w:ascii="Times New Roman" w:hAnsi="Times New Roman" w:cs="Times New Roman"/>
          <w:lang w:val="en-US"/>
        </w:rPr>
        <w:t xml:space="preserve">), </w:t>
      </w:r>
      <w:proofErr w:type="spellStart"/>
      <w:r w:rsidRPr="00B94D5A">
        <w:rPr>
          <w:rFonts w:ascii="Times New Roman" w:hAnsi="Times New Roman" w:cs="Times New Roman"/>
          <w:lang w:val="en-US"/>
        </w:rPr>
        <w:t>nTMS</w:t>
      </w:r>
      <w:proofErr w:type="spellEnd"/>
      <w:r w:rsidRPr="00B94D5A">
        <w:rPr>
          <w:rFonts w:ascii="Times New Roman" w:hAnsi="Times New Roman" w:cs="Times New Roman"/>
          <w:lang w:val="en-US"/>
        </w:rPr>
        <w:t xml:space="preserve"> of </w:t>
      </w:r>
      <w:r w:rsidR="001A1052">
        <w:rPr>
          <w:rFonts w:ascii="Times New Roman" w:hAnsi="Times New Roman" w:cs="Times New Roman"/>
          <w:lang w:val="en-US"/>
        </w:rPr>
        <w:t xml:space="preserve">the </w:t>
      </w:r>
      <w:r w:rsidRPr="00B94D5A">
        <w:rPr>
          <w:rFonts w:ascii="Times New Roman" w:hAnsi="Times New Roman" w:cs="Times New Roman"/>
          <w:lang w:val="en-US"/>
        </w:rPr>
        <w:t>hand motor area</w:t>
      </w:r>
      <w:r w:rsidR="001A1052">
        <w:rPr>
          <w:rFonts w:ascii="Times New Roman" w:hAnsi="Times New Roman" w:cs="Times New Roman"/>
          <w:lang w:val="en-US"/>
        </w:rPr>
        <w:t>s</w:t>
      </w:r>
      <w:r w:rsidRPr="00B94D5A">
        <w:rPr>
          <w:rFonts w:ascii="Times New Roman" w:hAnsi="Times New Roman" w:cs="Times New Roman"/>
          <w:lang w:val="en-US"/>
        </w:rPr>
        <w:t xml:space="preserve"> showed bilateral MEP from all the registered muscles, irrespective of the cortical side being stimulated. In contrast, focal stimulation of </w:t>
      </w:r>
      <w:r w:rsidR="001A1052">
        <w:rPr>
          <w:rFonts w:ascii="Times New Roman" w:hAnsi="Times New Roman" w:cs="Times New Roman"/>
          <w:lang w:val="en-US"/>
        </w:rPr>
        <w:t xml:space="preserve">the </w:t>
      </w:r>
      <w:r w:rsidRPr="00B94D5A">
        <w:rPr>
          <w:rFonts w:ascii="Times New Roman" w:hAnsi="Times New Roman" w:cs="Times New Roman"/>
          <w:lang w:val="en-US"/>
        </w:rPr>
        <w:t>leg motor area yielded MEP only contralaterally. Thus, TMS data clearly show</w:t>
      </w:r>
      <w:r w:rsidR="001A1052">
        <w:rPr>
          <w:rFonts w:ascii="Times New Roman" w:hAnsi="Times New Roman" w:cs="Times New Roman"/>
          <w:lang w:val="en-US"/>
        </w:rPr>
        <w:t>ed</w:t>
      </w:r>
      <w:r w:rsidRPr="00B94D5A">
        <w:rPr>
          <w:rFonts w:ascii="Times New Roman" w:hAnsi="Times New Roman" w:cs="Times New Roman"/>
          <w:lang w:val="en-US"/>
        </w:rPr>
        <w:t xml:space="preserve"> reorganized </w:t>
      </w:r>
      <w:r w:rsidR="00777E32" w:rsidRPr="00B94D5A">
        <w:rPr>
          <w:rFonts w:ascii="Times New Roman" w:hAnsi="Times New Roman" w:cs="Times New Roman"/>
          <w:lang w:val="en-US"/>
        </w:rPr>
        <w:t>cortico</w:t>
      </w:r>
      <w:r w:rsidR="00777E32">
        <w:rPr>
          <w:rFonts w:ascii="Times New Roman" w:hAnsi="Times New Roman" w:cs="Times New Roman"/>
          <w:lang w:val="en-US"/>
        </w:rPr>
        <w:t xml:space="preserve">motor </w:t>
      </w:r>
      <w:r w:rsidRPr="00B94D5A">
        <w:rPr>
          <w:rFonts w:ascii="Times New Roman" w:hAnsi="Times New Roman" w:cs="Times New Roman"/>
          <w:lang w:val="en-US"/>
        </w:rPr>
        <w:t>projection patterns</w:t>
      </w:r>
      <w:r w:rsidR="001A1052">
        <w:rPr>
          <w:rFonts w:ascii="Times New Roman" w:hAnsi="Times New Roman" w:cs="Times New Roman"/>
          <w:lang w:val="en-US"/>
        </w:rPr>
        <w:t xml:space="preserve"> for the </w:t>
      </w:r>
      <w:r w:rsidRPr="00B94D5A">
        <w:rPr>
          <w:rFonts w:ascii="Times New Roman" w:hAnsi="Times New Roman" w:cs="Times New Roman"/>
          <w:lang w:val="en-US"/>
        </w:rPr>
        <w:t xml:space="preserve">upper </w:t>
      </w:r>
      <w:r w:rsidR="00777E32">
        <w:rPr>
          <w:rFonts w:ascii="Times New Roman" w:hAnsi="Times New Roman" w:cs="Times New Roman"/>
          <w:lang w:val="en-US"/>
        </w:rPr>
        <w:t xml:space="preserve">extremities </w:t>
      </w:r>
      <w:r w:rsidRPr="00B94D5A">
        <w:rPr>
          <w:rFonts w:ascii="Times New Roman" w:hAnsi="Times New Roman" w:cs="Times New Roman"/>
          <w:lang w:val="en-US"/>
        </w:rPr>
        <w:t xml:space="preserve">but sparing </w:t>
      </w:r>
      <w:r w:rsidR="001A1052">
        <w:rPr>
          <w:rFonts w:ascii="Times New Roman" w:hAnsi="Times New Roman" w:cs="Times New Roman"/>
          <w:lang w:val="en-US"/>
        </w:rPr>
        <w:t xml:space="preserve">not </w:t>
      </w:r>
      <w:r w:rsidRPr="00B94D5A">
        <w:rPr>
          <w:rFonts w:ascii="Times New Roman" w:hAnsi="Times New Roman" w:cs="Times New Roman"/>
          <w:lang w:val="en-US"/>
        </w:rPr>
        <w:t xml:space="preserve">the lower extremities. Minor asymmetries in cortico-muscular latencies might be suggestive of mono-synaptic to poly-synaptic connections, although the discussion </w:t>
      </w:r>
      <w:r w:rsidR="007860C4">
        <w:rPr>
          <w:rFonts w:ascii="Times New Roman" w:hAnsi="Times New Roman" w:cs="Times New Roman"/>
          <w:lang w:val="en-US"/>
        </w:rPr>
        <w:t xml:space="preserve">of the </w:t>
      </w:r>
      <w:r w:rsidRPr="00B94D5A">
        <w:rPr>
          <w:rFonts w:ascii="Times New Roman" w:hAnsi="Times New Roman" w:cs="Times New Roman"/>
          <w:lang w:val="en-US"/>
        </w:rPr>
        <w:t>true nature of synaptic connectivity is beyond the scope of our two patient’s neurophysiological data.</w:t>
      </w:r>
      <w:r w:rsidR="00777E32" w:rsidRPr="003F2C2B">
        <w:rPr>
          <w:lang w:val="en-US"/>
        </w:rPr>
        <w:t xml:space="preserve"> </w:t>
      </w:r>
      <w:r w:rsidR="00777E32" w:rsidRPr="00777E32">
        <w:rPr>
          <w:rFonts w:ascii="Times New Roman" w:hAnsi="Times New Roman" w:cs="Times New Roman"/>
          <w:lang w:val="en-US"/>
        </w:rPr>
        <w:t>Our TMS find</w:t>
      </w:r>
      <w:r w:rsidR="00777E32">
        <w:rPr>
          <w:rFonts w:ascii="Times New Roman" w:hAnsi="Times New Roman" w:cs="Times New Roman"/>
          <w:lang w:val="en-US"/>
        </w:rPr>
        <w:t>i</w:t>
      </w:r>
      <w:r w:rsidR="00777E32" w:rsidRPr="00777E32">
        <w:rPr>
          <w:rFonts w:ascii="Times New Roman" w:hAnsi="Times New Roman" w:cs="Times New Roman"/>
          <w:lang w:val="en-US"/>
        </w:rPr>
        <w:t xml:space="preserve">ngs are descriptive </w:t>
      </w:r>
      <w:proofErr w:type="spellStart"/>
      <w:r w:rsidR="00777E32" w:rsidRPr="00777E32">
        <w:rPr>
          <w:rFonts w:ascii="Times New Roman" w:hAnsi="Times New Roman" w:cs="Times New Roman"/>
          <w:lang w:val="en-US"/>
        </w:rPr>
        <w:t>neurophysiogical</w:t>
      </w:r>
      <w:proofErr w:type="spellEnd"/>
      <w:r w:rsidR="00777E32" w:rsidRPr="00777E32">
        <w:rPr>
          <w:rFonts w:ascii="Times New Roman" w:hAnsi="Times New Roman" w:cs="Times New Roman"/>
          <w:lang w:val="en-US"/>
        </w:rPr>
        <w:t xml:space="preserve"> information of CST reorganization, while for the reason that we have very small data set, we have not drawn any correlation between reorganization of CST pattern and MM.</w:t>
      </w:r>
    </w:p>
    <w:p w14:paraId="3BBB12A4" w14:textId="533B3A16" w:rsidR="00197EFD" w:rsidRDefault="00197EFD" w:rsidP="004C1847">
      <w:pPr>
        <w:spacing w:line="480" w:lineRule="auto"/>
        <w:jc w:val="both"/>
        <w:rPr>
          <w:rFonts w:ascii="Times New Roman" w:hAnsi="Times New Roman" w:cs="Times New Roman"/>
          <w:lang w:val="en-US"/>
        </w:rPr>
      </w:pPr>
      <w:r w:rsidRPr="00197EFD">
        <w:rPr>
          <w:rFonts w:ascii="Times New Roman" w:hAnsi="Times New Roman" w:cs="Times New Roman"/>
          <w:lang w:val="en-US"/>
        </w:rPr>
        <w:t xml:space="preserve">Volumetric brain assessment in aforementioned patients was performed using </w:t>
      </w:r>
      <w:proofErr w:type="spellStart"/>
      <w:r w:rsidRPr="00197EFD">
        <w:rPr>
          <w:rFonts w:ascii="Times New Roman" w:hAnsi="Times New Roman" w:cs="Times New Roman"/>
          <w:lang w:val="en-US"/>
        </w:rPr>
        <w:t>FreeSurfer</w:t>
      </w:r>
      <w:proofErr w:type="spellEnd"/>
      <w:r w:rsidRPr="00197EFD">
        <w:rPr>
          <w:rFonts w:ascii="Times New Roman" w:hAnsi="Times New Roman" w:cs="Times New Roman"/>
          <w:lang w:val="en-US"/>
        </w:rPr>
        <w:t xml:space="preserve"> </w:t>
      </w:r>
      <w:r w:rsidR="003E11D6">
        <w:rPr>
          <w:rFonts w:ascii="Times New Roman" w:hAnsi="Times New Roman" w:cs="Times New Roman"/>
          <w:lang w:val="en-US"/>
        </w:rPr>
        <w:t>(e-6).</w:t>
      </w:r>
    </w:p>
    <w:p w14:paraId="7E4F761B" w14:textId="77777777" w:rsidR="004C1847" w:rsidRPr="00045957" w:rsidRDefault="004C1847" w:rsidP="004C1847">
      <w:pPr>
        <w:spacing w:line="480" w:lineRule="auto"/>
        <w:jc w:val="both"/>
        <w:rPr>
          <w:rFonts w:ascii="Times New Roman" w:hAnsi="Times New Roman" w:cs="Times New Roman"/>
          <w:b/>
          <w:lang w:val="en-US"/>
        </w:rPr>
      </w:pPr>
      <w:r w:rsidRPr="00045957">
        <w:rPr>
          <w:rFonts w:ascii="Times New Roman" w:hAnsi="Times New Roman" w:cs="Times New Roman"/>
          <w:b/>
          <w:lang w:val="en-US"/>
        </w:rPr>
        <w:t>Genetic analyses</w:t>
      </w:r>
    </w:p>
    <w:p w14:paraId="4972DC13" w14:textId="31C8F64C" w:rsidR="004C1847" w:rsidRDefault="004C1847" w:rsidP="004C1847">
      <w:pPr>
        <w:spacing w:line="480" w:lineRule="auto"/>
        <w:jc w:val="both"/>
        <w:rPr>
          <w:rFonts w:ascii="Times New Roman" w:hAnsi="Times New Roman" w:cs="Times New Roman"/>
          <w:lang w:val="en-US"/>
        </w:rPr>
      </w:pPr>
      <w:r w:rsidRPr="004C1847">
        <w:rPr>
          <w:rFonts w:ascii="Times New Roman" w:hAnsi="Times New Roman" w:cs="Times New Roman"/>
          <w:lang w:val="en-US"/>
        </w:rPr>
        <w:t>Genes associated with congenital mirror movements (</w:t>
      </w:r>
      <w:r w:rsidRPr="00045957">
        <w:rPr>
          <w:rFonts w:ascii="Times New Roman" w:hAnsi="Times New Roman" w:cs="Times New Roman"/>
          <w:i/>
          <w:iCs/>
          <w:lang w:val="en-US"/>
        </w:rPr>
        <w:t>DCC</w:t>
      </w:r>
      <w:r w:rsidRPr="004C1847">
        <w:rPr>
          <w:rFonts w:ascii="Times New Roman" w:hAnsi="Times New Roman" w:cs="Times New Roman"/>
          <w:lang w:val="en-US"/>
        </w:rPr>
        <w:t xml:space="preserve">, </w:t>
      </w:r>
      <w:r w:rsidR="00DD7E1C" w:rsidRPr="003F2C2B">
        <w:rPr>
          <w:rFonts w:ascii="Times New Roman" w:hAnsi="Times New Roman" w:cs="Times New Roman"/>
          <w:i/>
          <w:iCs/>
          <w:lang w:val="en-US"/>
        </w:rPr>
        <w:t>NTN1</w:t>
      </w:r>
      <w:r w:rsidR="00DD7E1C">
        <w:rPr>
          <w:rFonts w:ascii="Times New Roman" w:hAnsi="Times New Roman" w:cs="Times New Roman"/>
          <w:lang w:val="en-US"/>
        </w:rPr>
        <w:t xml:space="preserve">, </w:t>
      </w:r>
      <w:r w:rsidRPr="00045957">
        <w:rPr>
          <w:rFonts w:ascii="Times New Roman" w:hAnsi="Times New Roman" w:cs="Times New Roman"/>
          <w:i/>
          <w:iCs/>
          <w:lang w:val="en-US"/>
        </w:rPr>
        <w:t>RAD51</w:t>
      </w:r>
      <w:r w:rsidRPr="004C1847">
        <w:rPr>
          <w:rFonts w:ascii="Times New Roman" w:hAnsi="Times New Roman" w:cs="Times New Roman"/>
          <w:lang w:val="en-US"/>
        </w:rPr>
        <w:t xml:space="preserve"> and </w:t>
      </w:r>
      <w:r w:rsidRPr="00045957">
        <w:rPr>
          <w:rFonts w:ascii="Times New Roman" w:hAnsi="Times New Roman" w:cs="Times New Roman"/>
          <w:i/>
          <w:iCs/>
          <w:lang w:val="en-US"/>
        </w:rPr>
        <w:t>DNAL4</w:t>
      </w:r>
      <w:r w:rsidRPr="004C1847">
        <w:rPr>
          <w:rFonts w:ascii="Times New Roman" w:hAnsi="Times New Roman" w:cs="Times New Roman"/>
          <w:lang w:val="en-US"/>
        </w:rPr>
        <w:t>) and movement disorders (</w:t>
      </w:r>
      <w:r w:rsidR="00DD7E1C">
        <w:rPr>
          <w:rFonts w:ascii="Times New Roman" w:hAnsi="Times New Roman" w:cs="Times New Roman"/>
          <w:lang w:val="en-US"/>
        </w:rPr>
        <w:t>500</w:t>
      </w:r>
      <w:r w:rsidRPr="004C1847">
        <w:rPr>
          <w:rFonts w:ascii="Times New Roman" w:hAnsi="Times New Roman" w:cs="Times New Roman"/>
          <w:lang w:val="en-US"/>
        </w:rPr>
        <w:t xml:space="preserve"> genes</w:t>
      </w:r>
      <w:r w:rsidR="00054C9E">
        <w:rPr>
          <w:rFonts w:ascii="Times New Roman" w:hAnsi="Times New Roman" w:cs="Times New Roman"/>
          <w:lang w:val="en-US"/>
        </w:rPr>
        <w:t>)</w:t>
      </w:r>
      <w:r w:rsidRPr="004C1847">
        <w:rPr>
          <w:rFonts w:ascii="Times New Roman" w:hAnsi="Times New Roman" w:cs="Times New Roman"/>
          <w:lang w:val="en-US"/>
        </w:rPr>
        <w:t xml:space="preserve"> were</w:t>
      </w:r>
      <w:r w:rsidR="00610113">
        <w:rPr>
          <w:rFonts w:ascii="Times New Roman" w:hAnsi="Times New Roman" w:cs="Times New Roman"/>
          <w:lang w:val="en-US"/>
        </w:rPr>
        <w:t xml:space="preserve"> first</w:t>
      </w:r>
      <w:r w:rsidRPr="004C1847">
        <w:rPr>
          <w:rFonts w:ascii="Times New Roman" w:hAnsi="Times New Roman" w:cs="Times New Roman"/>
          <w:lang w:val="en-US"/>
        </w:rPr>
        <w:t xml:space="preserve"> analy</w:t>
      </w:r>
      <w:r w:rsidR="00610113">
        <w:rPr>
          <w:rFonts w:ascii="Times New Roman" w:hAnsi="Times New Roman" w:cs="Times New Roman"/>
          <w:lang w:val="en-US"/>
        </w:rPr>
        <w:t>z</w:t>
      </w:r>
      <w:r w:rsidRPr="004C1847">
        <w:rPr>
          <w:rFonts w:ascii="Times New Roman" w:hAnsi="Times New Roman" w:cs="Times New Roman"/>
          <w:lang w:val="en-US"/>
        </w:rPr>
        <w:t xml:space="preserve">ed. After </w:t>
      </w:r>
      <w:r w:rsidR="00610113">
        <w:rPr>
          <w:rFonts w:ascii="Times New Roman" w:hAnsi="Times New Roman" w:cs="Times New Roman"/>
          <w:lang w:val="en-US"/>
        </w:rPr>
        <w:t>P</w:t>
      </w:r>
      <w:r w:rsidRPr="004C1847">
        <w:rPr>
          <w:rFonts w:ascii="Times New Roman" w:hAnsi="Times New Roman" w:cs="Times New Roman"/>
          <w:lang w:val="en-US"/>
        </w:rPr>
        <w:t xml:space="preserve">atient </w:t>
      </w:r>
      <w:r w:rsidR="00F30F1A">
        <w:rPr>
          <w:rFonts w:ascii="Times New Roman" w:hAnsi="Times New Roman" w:cs="Times New Roman"/>
          <w:lang w:val="en-US"/>
        </w:rPr>
        <w:t>6</w:t>
      </w:r>
      <w:r w:rsidRPr="004C1847">
        <w:rPr>
          <w:rFonts w:ascii="Times New Roman" w:hAnsi="Times New Roman" w:cs="Times New Roman"/>
          <w:lang w:val="en-US"/>
        </w:rPr>
        <w:t xml:space="preserve"> was diagnosed with myelodysplastic syndrome (MDS), a re-assessment for variants involved in familial cancer was sought. For </w:t>
      </w:r>
      <w:r w:rsidR="00610113">
        <w:rPr>
          <w:rFonts w:ascii="Times New Roman" w:hAnsi="Times New Roman" w:cs="Times New Roman"/>
          <w:lang w:val="en-US"/>
        </w:rPr>
        <w:t>P</w:t>
      </w:r>
      <w:r w:rsidRPr="004C1847">
        <w:rPr>
          <w:rFonts w:ascii="Times New Roman" w:hAnsi="Times New Roman" w:cs="Times New Roman"/>
          <w:lang w:val="en-US"/>
        </w:rPr>
        <w:t xml:space="preserve">atient 6 the search </w:t>
      </w:r>
      <w:r w:rsidRPr="004C1847">
        <w:rPr>
          <w:rFonts w:ascii="Times New Roman" w:hAnsi="Times New Roman" w:cs="Times New Roman"/>
          <w:lang w:val="en-US"/>
        </w:rPr>
        <w:lastRenderedPageBreak/>
        <w:t xml:space="preserve">included genes associated with intellectual disability, seizures and agenesis of the corpus callosum. Genomic DNA from the patients was subjected to massive parallel sequencing with whole exome sequencing. Both sequencing and primary filtering of variants were performed at Clinical genomics, </w:t>
      </w:r>
      <w:proofErr w:type="spellStart"/>
      <w:r w:rsidRPr="004C1847">
        <w:rPr>
          <w:rFonts w:ascii="Times New Roman" w:hAnsi="Times New Roman" w:cs="Times New Roman"/>
          <w:lang w:val="en-US"/>
        </w:rPr>
        <w:t>SciLife</w:t>
      </w:r>
      <w:proofErr w:type="spellEnd"/>
      <w:r w:rsidRPr="004C1847">
        <w:rPr>
          <w:rFonts w:ascii="Times New Roman" w:hAnsi="Times New Roman" w:cs="Times New Roman"/>
          <w:lang w:val="en-US"/>
        </w:rPr>
        <w:t>, Solna, Sweden. Sequence data was mapped to reference sequence [GRCh37/UCSChg19], and 9</w:t>
      </w:r>
      <w:r w:rsidR="00054C9E">
        <w:rPr>
          <w:rFonts w:ascii="Times New Roman" w:hAnsi="Times New Roman" w:cs="Times New Roman"/>
          <w:lang w:val="en-US"/>
        </w:rPr>
        <w:t>5</w:t>
      </w:r>
      <w:r w:rsidRPr="004C1847">
        <w:rPr>
          <w:rFonts w:ascii="Times New Roman" w:hAnsi="Times New Roman" w:cs="Times New Roman"/>
          <w:lang w:val="en-US"/>
        </w:rPr>
        <w:t xml:space="preserve">% </w:t>
      </w:r>
      <w:r w:rsidR="00054C9E">
        <w:rPr>
          <w:rFonts w:ascii="Times New Roman" w:hAnsi="Times New Roman" w:cs="Times New Roman"/>
          <w:lang w:val="en-US"/>
        </w:rPr>
        <w:t xml:space="preserve">of the target bases </w:t>
      </w:r>
      <w:r w:rsidRPr="004C1847">
        <w:rPr>
          <w:rFonts w:ascii="Times New Roman" w:hAnsi="Times New Roman" w:cs="Times New Roman"/>
          <w:lang w:val="en-US"/>
        </w:rPr>
        <w:t>achieved at least 20x coverage</w:t>
      </w:r>
      <w:r w:rsidR="00054C9E">
        <w:rPr>
          <w:rFonts w:ascii="Times New Roman" w:hAnsi="Times New Roman" w:cs="Times New Roman"/>
          <w:lang w:val="en-US"/>
        </w:rPr>
        <w:t xml:space="preserve"> (100% in the </w:t>
      </w:r>
      <w:r w:rsidR="00054C9E" w:rsidRPr="00045957">
        <w:rPr>
          <w:rFonts w:ascii="Times New Roman" w:hAnsi="Times New Roman" w:cs="Times New Roman"/>
          <w:i/>
          <w:iCs/>
          <w:lang w:val="en-US"/>
        </w:rPr>
        <w:t>DCC</w:t>
      </w:r>
      <w:r w:rsidR="00054C9E">
        <w:rPr>
          <w:rFonts w:ascii="Times New Roman" w:hAnsi="Times New Roman" w:cs="Times New Roman"/>
          <w:lang w:val="en-US"/>
        </w:rPr>
        <w:t xml:space="preserve">, </w:t>
      </w:r>
      <w:r w:rsidR="00054C9E" w:rsidRPr="00045957">
        <w:rPr>
          <w:rFonts w:ascii="Times New Roman" w:hAnsi="Times New Roman" w:cs="Times New Roman"/>
          <w:i/>
          <w:iCs/>
          <w:lang w:val="en-US"/>
        </w:rPr>
        <w:t>RAD51</w:t>
      </w:r>
      <w:r w:rsidR="00054C9E">
        <w:rPr>
          <w:rFonts w:ascii="Times New Roman" w:hAnsi="Times New Roman" w:cs="Times New Roman"/>
          <w:lang w:val="en-US"/>
        </w:rPr>
        <w:t xml:space="preserve"> and </w:t>
      </w:r>
      <w:r w:rsidR="00054C9E" w:rsidRPr="00045957">
        <w:rPr>
          <w:rFonts w:ascii="Times New Roman" w:hAnsi="Times New Roman" w:cs="Times New Roman"/>
          <w:i/>
          <w:iCs/>
          <w:lang w:val="en-US"/>
        </w:rPr>
        <w:t>DNAL4</w:t>
      </w:r>
      <w:r w:rsidR="00054C9E">
        <w:rPr>
          <w:rFonts w:ascii="Times New Roman" w:hAnsi="Times New Roman" w:cs="Times New Roman"/>
          <w:lang w:val="en-US"/>
        </w:rPr>
        <w:t xml:space="preserve"> genes)</w:t>
      </w:r>
      <w:r w:rsidRPr="004C1847">
        <w:rPr>
          <w:rFonts w:ascii="Times New Roman" w:hAnsi="Times New Roman" w:cs="Times New Roman"/>
          <w:lang w:val="en-US"/>
        </w:rPr>
        <w:t>. Identified sequence variants were subsequently analy</w:t>
      </w:r>
      <w:r w:rsidR="00610113">
        <w:rPr>
          <w:rFonts w:ascii="Times New Roman" w:hAnsi="Times New Roman" w:cs="Times New Roman"/>
          <w:lang w:val="en-US"/>
        </w:rPr>
        <w:t>z</w:t>
      </w:r>
      <w:r w:rsidRPr="004C1847">
        <w:rPr>
          <w:rFonts w:ascii="Times New Roman" w:hAnsi="Times New Roman" w:cs="Times New Roman"/>
          <w:lang w:val="en-US"/>
        </w:rPr>
        <w:t xml:space="preserve">ed and filtered using designated software (SCOUT, Clinical Genomics, </w:t>
      </w:r>
      <w:proofErr w:type="spellStart"/>
      <w:r w:rsidRPr="004C1847">
        <w:rPr>
          <w:rFonts w:ascii="Times New Roman" w:hAnsi="Times New Roman" w:cs="Times New Roman"/>
          <w:lang w:val="en-US"/>
        </w:rPr>
        <w:t>SciLife</w:t>
      </w:r>
      <w:proofErr w:type="spellEnd"/>
      <w:r w:rsidRPr="004C1847">
        <w:rPr>
          <w:rFonts w:ascii="Times New Roman" w:hAnsi="Times New Roman" w:cs="Times New Roman"/>
          <w:lang w:val="en-US"/>
        </w:rPr>
        <w:t xml:space="preserve"> Solna). Sequences in exons and exon/intron boundaries, and variants with population frequencies &lt;0.01 were interpreted. The variants c.1729delG and c.1466_1476del in </w:t>
      </w:r>
      <w:r w:rsidRPr="00045957">
        <w:rPr>
          <w:rFonts w:ascii="Times New Roman" w:hAnsi="Times New Roman" w:cs="Times New Roman"/>
          <w:i/>
          <w:iCs/>
          <w:lang w:val="en-US"/>
        </w:rPr>
        <w:t>DCC</w:t>
      </w:r>
      <w:r w:rsidRPr="004C1847">
        <w:rPr>
          <w:rFonts w:ascii="Times New Roman" w:hAnsi="Times New Roman" w:cs="Times New Roman"/>
          <w:lang w:val="en-US"/>
        </w:rPr>
        <w:t xml:space="preserve"> have not been described before (</w:t>
      </w:r>
      <w:proofErr w:type="spellStart"/>
      <w:r w:rsidRPr="004C1847">
        <w:rPr>
          <w:rFonts w:ascii="Times New Roman" w:hAnsi="Times New Roman" w:cs="Times New Roman"/>
          <w:lang w:val="en-US"/>
        </w:rPr>
        <w:t>gnomAD</w:t>
      </w:r>
      <w:proofErr w:type="spellEnd"/>
      <w:r w:rsidRPr="004C1847">
        <w:rPr>
          <w:rFonts w:ascii="Times New Roman" w:hAnsi="Times New Roman" w:cs="Times New Roman"/>
          <w:lang w:val="en-US"/>
        </w:rPr>
        <w:t xml:space="preserve">, </w:t>
      </w:r>
      <w:proofErr w:type="spellStart"/>
      <w:r w:rsidRPr="004C1847">
        <w:rPr>
          <w:rFonts w:ascii="Times New Roman" w:hAnsi="Times New Roman" w:cs="Times New Roman"/>
          <w:lang w:val="en-US"/>
        </w:rPr>
        <w:t>ClinVar</w:t>
      </w:r>
      <w:proofErr w:type="spellEnd"/>
      <w:r w:rsidRPr="004C1847">
        <w:rPr>
          <w:rFonts w:ascii="Times New Roman" w:hAnsi="Times New Roman" w:cs="Times New Roman"/>
          <w:lang w:val="en-US"/>
        </w:rPr>
        <w:t>, HGMD)</w:t>
      </w:r>
      <w:r w:rsidR="00054C9E">
        <w:rPr>
          <w:rFonts w:ascii="Times New Roman" w:hAnsi="Times New Roman" w:cs="Times New Roman"/>
          <w:lang w:val="en-US"/>
        </w:rPr>
        <w:t>.</w:t>
      </w:r>
      <w:r w:rsidRPr="004C1847">
        <w:rPr>
          <w:rFonts w:ascii="Times New Roman" w:hAnsi="Times New Roman" w:cs="Times New Roman"/>
          <w:lang w:val="en-US"/>
        </w:rPr>
        <w:t xml:space="preserve"> </w:t>
      </w:r>
      <w:r w:rsidR="00054C9E">
        <w:rPr>
          <w:rFonts w:ascii="Times New Roman" w:hAnsi="Times New Roman" w:cs="Times New Roman"/>
          <w:lang w:val="en-US"/>
        </w:rPr>
        <w:t>T</w:t>
      </w:r>
      <w:r w:rsidRPr="004C1847">
        <w:rPr>
          <w:rFonts w:ascii="Times New Roman" w:hAnsi="Times New Roman" w:cs="Times New Roman"/>
          <w:lang w:val="en-US"/>
        </w:rPr>
        <w:t xml:space="preserve">he first variant segregates with disease in </w:t>
      </w:r>
      <w:r w:rsidR="00610113">
        <w:rPr>
          <w:rFonts w:ascii="Times New Roman" w:hAnsi="Times New Roman" w:cs="Times New Roman"/>
          <w:lang w:val="en-US"/>
        </w:rPr>
        <w:t>F</w:t>
      </w:r>
      <w:r w:rsidRPr="004C1847">
        <w:rPr>
          <w:rFonts w:ascii="Times New Roman" w:hAnsi="Times New Roman" w:cs="Times New Roman"/>
          <w:lang w:val="en-US"/>
        </w:rPr>
        <w:t xml:space="preserve">amily 1. No other variants associated with </w:t>
      </w:r>
      <w:r w:rsidR="002D6FEB" w:rsidRPr="004C1847">
        <w:rPr>
          <w:rFonts w:ascii="Times New Roman" w:hAnsi="Times New Roman" w:cs="Times New Roman"/>
          <w:lang w:val="en-US"/>
        </w:rPr>
        <w:t>intellectual disability</w:t>
      </w:r>
      <w:r w:rsidRPr="004C1847">
        <w:rPr>
          <w:rFonts w:ascii="Times New Roman" w:hAnsi="Times New Roman" w:cs="Times New Roman"/>
          <w:lang w:val="en-US"/>
        </w:rPr>
        <w:t xml:space="preserve">, </w:t>
      </w:r>
      <w:r w:rsidR="002D6FEB" w:rsidRPr="004C1847">
        <w:rPr>
          <w:rFonts w:ascii="Times New Roman" w:hAnsi="Times New Roman" w:cs="Times New Roman"/>
          <w:lang w:val="en-US"/>
        </w:rPr>
        <w:t>agenesis of the corpus callosum</w:t>
      </w:r>
      <w:r w:rsidRPr="004C1847">
        <w:rPr>
          <w:rFonts w:ascii="Times New Roman" w:hAnsi="Times New Roman" w:cs="Times New Roman"/>
          <w:lang w:val="en-US"/>
        </w:rPr>
        <w:t>, familial malignancy, seizures or movement disorders were identified.</w:t>
      </w:r>
      <w:r w:rsidR="00197EFD">
        <w:rPr>
          <w:rFonts w:ascii="Times New Roman" w:hAnsi="Times New Roman" w:cs="Times New Roman"/>
          <w:lang w:val="en-US"/>
        </w:rPr>
        <w:t xml:space="preserve"> </w:t>
      </w:r>
      <w:r w:rsidR="00197EFD" w:rsidRPr="00197EFD">
        <w:rPr>
          <w:rFonts w:ascii="Times New Roman" w:hAnsi="Times New Roman" w:cs="Times New Roman"/>
          <w:lang w:val="en-US"/>
        </w:rPr>
        <w:t xml:space="preserve">In family 2, a novel variant in ADGRE2 was identified in the index case but it did not segregate with disease (Table 1), mutations in this gene are otherwise associated with familial vibration urticaria </w:t>
      </w:r>
      <w:r w:rsidR="003E11D6">
        <w:rPr>
          <w:rFonts w:ascii="Times New Roman" w:hAnsi="Times New Roman" w:cs="Times New Roman"/>
          <w:lang w:val="en-US"/>
        </w:rPr>
        <w:t>(e-7)</w:t>
      </w:r>
      <w:r w:rsidR="00197EFD" w:rsidRPr="00197EFD">
        <w:rPr>
          <w:rFonts w:ascii="Times New Roman" w:hAnsi="Times New Roman" w:cs="Times New Roman"/>
          <w:lang w:val="en-US"/>
        </w:rPr>
        <w:t>.</w:t>
      </w:r>
    </w:p>
    <w:p w14:paraId="56719EE4" w14:textId="2F563C02" w:rsidR="00C31396" w:rsidRPr="00B94D5A" w:rsidRDefault="00D6745D" w:rsidP="004C1847">
      <w:pPr>
        <w:spacing w:line="480" w:lineRule="auto"/>
        <w:rPr>
          <w:rFonts w:ascii="Times New Roman" w:hAnsi="Times New Roman" w:cs="Times New Roman"/>
          <w:b/>
          <w:bCs/>
          <w:lang w:val="en-US"/>
        </w:rPr>
      </w:pPr>
      <w:r>
        <w:rPr>
          <w:rFonts w:ascii="Times New Roman" w:hAnsi="Times New Roman" w:cs="Times New Roman"/>
          <w:b/>
          <w:bCs/>
          <w:lang w:val="en-US"/>
        </w:rPr>
        <w:t>Supplementary r</w:t>
      </w:r>
      <w:r w:rsidR="00C31396" w:rsidRPr="00B94D5A">
        <w:rPr>
          <w:rFonts w:ascii="Times New Roman" w:hAnsi="Times New Roman" w:cs="Times New Roman"/>
          <w:b/>
          <w:bCs/>
          <w:lang w:val="en-US"/>
        </w:rPr>
        <w:t>eferences</w:t>
      </w:r>
    </w:p>
    <w:p w14:paraId="198B49D6" w14:textId="7E677309" w:rsidR="00C31396" w:rsidRPr="00B94D5A" w:rsidRDefault="003E11D6" w:rsidP="003F2C2B">
      <w:pPr>
        <w:pStyle w:val="EndNoteBibliography"/>
        <w:spacing w:after="0" w:line="480" w:lineRule="auto"/>
        <w:ind w:left="720" w:hanging="720"/>
        <w:rPr>
          <w:rFonts w:ascii="Times New Roman" w:hAnsi="Times New Roman" w:cs="Times New Roman"/>
          <w:noProof/>
        </w:rPr>
      </w:pPr>
      <w:r>
        <w:rPr>
          <w:rFonts w:ascii="Times New Roman" w:hAnsi="Times New Roman" w:cs="Times New Roman"/>
        </w:rPr>
        <w:t>e-</w:t>
      </w:r>
      <w:r w:rsidR="00C31396" w:rsidRPr="00B94D5A">
        <w:rPr>
          <w:rFonts w:ascii="Times New Roman" w:hAnsi="Times New Roman" w:cs="Times New Roman"/>
        </w:rPr>
        <w:fldChar w:fldCharType="begin"/>
      </w:r>
      <w:r w:rsidR="00C31396" w:rsidRPr="00B94D5A">
        <w:rPr>
          <w:rFonts w:ascii="Times New Roman" w:hAnsi="Times New Roman" w:cs="Times New Roman"/>
        </w:rPr>
        <w:instrText xml:space="preserve"> ADDIN EN.REFLIST </w:instrText>
      </w:r>
      <w:r w:rsidR="00C31396" w:rsidRPr="00B94D5A">
        <w:rPr>
          <w:rFonts w:ascii="Times New Roman" w:hAnsi="Times New Roman" w:cs="Times New Roman"/>
        </w:rPr>
        <w:fldChar w:fldCharType="separate"/>
      </w:r>
      <w:r w:rsidR="00C31396" w:rsidRPr="00B94D5A">
        <w:rPr>
          <w:rFonts w:ascii="Times New Roman" w:hAnsi="Times New Roman" w:cs="Times New Roman"/>
          <w:noProof/>
        </w:rPr>
        <w:t>1.</w:t>
      </w:r>
      <w:r w:rsidR="00C31396" w:rsidRPr="00B94D5A">
        <w:rPr>
          <w:rFonts w:ascii="Times New Roman" w:hAnsi="Times New Roman" w:cs="Times New Roman"/>
          <w:noProof/>
        </w:rPr>
        <w:tab/>
        <w:t xml:space="preserve">Maegaki, Y., et al., </w:t>
      </w:r>
      <w:r w:rsidR="00C31396" w:rsidRPr="00B94D5A">
        <w:rPr>
          <w:rFonts w:ascii="Times New Roman" w:hAnsi="Times New Roman" w:cs="Times New Roman"/>
          <w:i/>
          <w:noProof/>
        </w:rPr>
        <w:t>Congenital mirror movement: a study of functional MRI and transcranial magnetic stimulation.</w:t>
      </w:r>
      <w:r w:rsidR="00C31396" w:rsidRPr="00B94D5A">
        <w:rPr>
          <w:rFonts w:ascii="Times New Roman" w:hAnsi="Times New Roman" w:cs="Times New Roman"/>
          <w:noProof/>
        </w:rPr>
        <w:t xml:space="preserve"> Dev Med Child Neurol, 2002. </w:t>
      </w:r>
      <w:r w:rsidR="00C31396" w:rsidRPr="00B94D5A">
        <w:rPr>
          <w:rFonts w:ascii="Times New Roman" w:hAnsi="Times New Roman" w:cs="Times New Roman"/>
          <w:b/>
          <w:noProof/>
        </w:rPr>
        <w:t>44</w:t>
      </w:r>
      <w:r w:rsidR="00C31396" w:rsidRPr="00B94D5A">
        <w:rPr>
          <w:rFonts w:ascii="Times New Roman" w:hAnsi="Times New Roman" w:cs="Times New Roman"/>
          <w:noProof/>
        </w:rPr>
        <w:t>(12): p. 838-43.</w:t>
      </w:r>
    </w:p>
    <w:p w14:paraId="7DF7088D" w14:textId="61B52A5C" w:rsidR="00C31396" w:rsidRPr="00B94D5A" w:rsidRDefault="003E11D6" w:rsidP="003F2C2B">
      <w:pPr>
        <w:pStyle w:val="EndNoteBibliography"/>
        <w:spacing w:after="0" w:line="480" w:lineRule="auto"/>
        <w:ind w:left="720" w:hanging="720"/>
        <w:rPr>
          <w:rFonts w:ascii="Times New Roman" w:hAnsi="Times New Roman" w:cs="Times New Roman"/>
          <w:noProof/>
        </w:rPr>
      </w:pPr>
      <w:r>
        <w:rPr>
          <w:rFonts w:ascii="Times New Roman" w:hAnsi="Times New Roman" w:cs="Times New Roman"/>
          <w:noProof/>
        </w:rPr>
        <w:t>e-</w:t>
      </w:r>
      <w:r w:rsidR="00C31396" w:rsidRPr="00B94D5A">
        <w:rPr>
          <w:rFonts w:ascii="Times New Roman" w:hAnsi="Times New Roman" w:cs="Times New Roman"/>
          <w:noProof/>
        </w:rPr>
        <w:t>2.</w:t>
      </w:r>
      <w:r w:rsidR="00C31396" w:rsidRPr="00B94D5A">
        <w:rPr>
          <w:rFonts w:ascii="Times New Roman" w:hAnsi="Times New Roman" w:cs="Times New Roman"/>
          <w:noProof/>
        </w:rPr>
        <w:tab/>
        <w:t xml:space="preserve">Vosberg, D.E., et al., </w:t>
      </w:r>
      <w:r w:rsidR="00C31396" w:rsidRPr="00B94D5A">
        <w:rPr>
          <w:rFonts w:ascii="Times New Roman" w:hAnsi="Times New Roman" w:cs="Times New Roman"/>
          <w:i/>
          <w:noProof/>
        </w:rPr>
        <w:t>Neural function in DCC mutation carriers with and without mirror movements.</w:t>
      </w:r>
      <w:r w:rsidR="00C31396" w:rsidRPr="00B94D5A">
        <w:rPr>
          <w:rFonts w:ascii="Times New Roman" w:hAnsi="Times New Roman" w:cs="Times New Roman"/>
          <w:noProof/>
        </w:rPr>
        <w:t xml:space="preserve"> Ann Neurol, 2019. </w:t>
      </w:r>
      <w:r w:rsidR="00C31396" w:rsidRPr="00B94D5A">
        <w:rPr>
          <w:rFonts w:ascii="Times New Roman" w:hAnsi="Times New Roman" w:cs="Times New Roman"/>
          <w:b/>
          <w:noProof/>
        </w:rPr>
        <w:t>85</w:t>
      </w:r>
      <w:r w:rsidR="00C31396" w:rsidRPr="00B94D5A">
        <w:rPr>
          <w:rFonts w:ascii="Times New Roman" w:hAnsi="Times New Roman" w:cs="Times New Roman"/>
          <w:noProof/>
        </w:rPr>
        <w:t>(3): p. 433-442.</w:t>
      </w:r>
    </w:p>
    <w:p w14:paraId="44C5691C" w14:textId="7E2702A1" w:rsidR="00C31396" w:rsidRPr="00B94D5A" w:rsidRDefault="003E11D6" w:rsidP="003F2C2B">
      <w:pPr>
        <w:pStyle w:val="EndNoteBibliography"/>
        <w:spacing w:after="0" w:line="480" w:lineRule="auto"/>
        <w:ind w:left="720" w:hanging="720"/>
        <w:rPr>
          <w:rFonts w:ascii="Times New Roman" w:hAnsi="Times New Roman" w:cs="Times New Roman"/>
          <w:noProof/>
        </w:rPr>
      </w:pPr>
      <w:r>
        <w:rPr>
          <w:rFonts w:ascii="Times New Roman" w:hAnsi="Times New Roman" w:cs="Times New Roman"/>
          <w:noProof/>
        </w:rPr>
        <w:t>e</w:t>
      </w:r>
      <w:r w:rsidR="00C31396" w:rsidRPr="00B94D5A">
        <w:rPr>
          <w:rFonts w:ascii="Times New Roman" w:hAnsi="Times New Roman" w:cs="Times New Roman"/>
          <w:noProof/>
        </w:rPr>
        <w:t>3.</w:t>
      </w:r>
      <w:r w:rsidR="00C31396" w:rsidRPr="00B94D5A">
        <w:rPr>
          <w:rFonts w:ascii="Times New Roman" w:hAnsi="Times New Roman" w:cs="Times New Roman"/>
          <w:noProof/>
        </w:rPr>
        <w:tab/>
        <w:t xml:space="preserve">Cincotta, M., et al., </w:t>
      </w:r>
      <w:r w:rsidR="00C31396" w:rsidRPr="00B94D5A">
        <w:rPr>
          <w:rFonts w:ascii="Times New Roman" w:hAnsi="Times New Roman" w:cs="Times New Roman"/>
          <w:i/>
          <w:noProof/>
        </w:rPr>
        <w:t>Separate ipsilateral and contralateral corticospinal projections in congenital mirror movements: Neurophysiological evidence and significance for motor rehabilitation.</w:t>
      </w:r>
      <w:r w:rsidR="00C31396" w:rsidRPr="00B94D5A">
        <w:rPr>
          <w:rFonts w:ascii="Times New Roman" w:hAnsi="Times New Roman" w:cs="Times New Roman"/>
          <w:noProof/>
        </w:rPr>
        <w:t xml:space="preserve"> Mov Disord, 2003. </w:t>
      </w:r>
      <w:r w:rsidR="00C31396" w:rsidRPr="00B94D5A">
        <w:rPr>
          <w:rFonts w:ascii="Times New Roman" w:hAnsi="Times New Roman" w:cs="Times New Roman"/>
          <w:b/>
          <w:noProof/>
        </w:rPr>
        <w:t>18</w:t>
      </w:r>
      <w:r w:rsidR="00C31396" w:rsidRPr="00B94D5A">
        <w:rPr>
          <w:rFonts w:ascii="Times New Roman" w:hAnsi="Times New Roman" w:cs="Times New Roman"/>
          <w:noProof/>
        </w:rPr>
        <w:t>(11): p. 1294-300.</w:t>
      </w:r>
    </w:p>
    <w:p w14:paraId="0C37B584" w14:textId="399CDA51" w:rsidR="00C31396" w:rsidRPr="00B94D5A" w:rsidRDefault="003E11D6" w:rsidP="003F2C2B">
      <w:pPr>
        <w:pStyle w:val="EndNoteBibliography"/>
        <w:spacing w:after="0" w:line="480" w:lineRule="auto"/>
        <w:ind w:left="720" w:hanging="720"/>
        <w:rPr>
          <w:rFonts w:ascii="Times New Roman" w:hAnsi="Times New Roman" w:cs="Times New Roman"/>
          <w:noProof/>
        </w:rPr>
      </w:pPr>
      <w:r>
        <w:rPr>
          <w:rFonts w:ascii="Times New Roman" w:hAnsi="Times New Roman" w:cs="Times New Roman"/>
          <w:noProof/>
        </w:rPr>
        <w:t>e-</w:t>
      </w:r>
      <w:r w:rsidR="00C31396" w:rsidRPr="00B94D5A">
        <w:rPr>
          <w:rFonts w:ascii="Times New Roman" w:hAnsi="Times New Roman" w:cs="Times New Roman"/>
          <w:noProof/>
        </w:rPr>
        <w:t>4.</w:t>
      </w:r>
      <w:r w:rsidR="00C31396" w:rsidRPr="00B94D5A">
        <w:rPr>
          <w:rFonts w:ascii="Times New Roman" w:hAnsi="Times New Roman" w:cs="Times New Roman"/>
          <w:noProof/>
        </w:rPr>
        <w:tab/>
        <w:t xml:space="preserve">Ruohonen, J. and J. Karhu, </w:t>
      </w:r>
      <w:r w:rsidR="00C31396" w:rsidRPr="00B94D5A">
        <w:rPr>
          <w:rFonts w:ascii="Times New Roman" w:hAnsi="Times New Roman" w:cs="Times New Roman"/>
          <w:i/>
          <w:noProof/>
        </w:rPr>
        <w:t>Navigated transcranial magnetic stimulation.</w:t>
      </w:r>
      <w:r w:rsidR="00C31396" w:rsidRPr="00B94D5A">
        <w:rPr>
          <w:rFonts w:ascii="Times New Roman" w:hAnsi="Times New Roman" w:cs="Times New Roman"/>
          <w:noProof/>
        </w:rPr>
        <w:t xml:space="preserve"> Neurophysiol Clin, 2010. </w:t>
      </w:r>
      <w:r w:rsidR="00C31396" w:rsidRPr="00B94D5A">
        <w:rPr>
          <w:rFonts w:ascii="Times New Roman" w:hAnsi="Times New Roman" w:cs="Times New Roman"/>
          <w:b/>
          <w:noProof/>
        </w:rPr>
        <w:t>40</w:t>
      </w:r>
      <w:r w:rsidR="00C31396" w:rsidRPr="00B94D5A">
        <w:rPr>
          <w:rFonts w:ascii="Times New Roman" w:hAnsi="Times New Roman" w:cs="Times New Roman"/>
          <w:noProof/>
        </w:rPr>
        <w:t>(1): p. 7-17.</w:t>
      </w:r>
    </w:p>
    <w:p w14:paraId="503B4066" w14:textId="69B6745C" w:rsidR="00C31396" w:rsidRDefault="003E11D6" w:rsidP="004C1847">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e-</w:t>
      </w:r>
      <w:r w:rsidR="00C31396" w:rsidRPr="00B94D5A">
        <w:rPr>
          <w:rFonts w:ascii="Times New Roman" w:hAnsi="Times New Roman" w:cs="Times New Roman"/>
          <w:noProof/>
        </w:rPr>
        <w:t>5.</w:t>
      </w:r>
      <w:r w:rsidR="00C31396" w:rsidRPr="00B94D5A">
        <w:rPr>
          <w:rFonts w:ascii="Times New Roman" w:hAnsi="Times New Roman" w:cs="Times New Roman"/>
          <w:noProof/>
        </w:rPr>
        <w:tab/>
        <w:t xml:space="preserve">Krieg, S.M., et al., </w:t>
      </w:r>
      <w:r w:rsidR="00C31396" w:rsidRPr="00B94D5A">
        <w:rPr>
          <w:rFonts w:ascii="Times New Roman" w:hAnsi="Times New Roman" w:cs="Times New Roman"/>
          <w:i/>
          <w:noProof/>
        </w:rPr>
        <w:t>Protocol for motor and language mapping by navigated TMS in patients and healthy volunteers; workshop report.</w:t>
      </w:r>
      <w:r w:rsidR="00C31396" w:rsidRPr="00B94D5A">
        <w:rPr>
          <w:rFonts w:ascii="Times New Roman" w:hAnsi="Times New Roman" w:cs="Times New Roman"/>
          <w:noProof/>
        </w:rPr>
        <w:t xml:space="preserve"> Acta Neurochir (Wien), 2017.</w:t>
      </w:r>
    </w:p>
    <w:p w14:paraId="66D9B51E" w14:textId="179AC9D0" w:rsidR="00197EFD" w:rsidRDefault="003E11D6" w:rsidP="003F2C2B">
      <w:pPr>
        <w:pStyle w:val="EndNoteBibliography"/>
        <w:spacing w:line="480" w:lineRule="auto"/>
        <w:rPr>
          <w:rFonts w:ascii="Times New Roman" w:hAnsi="Times New Roman" w:cs="Times New Roman"/>
          <w:noProof/>
        </w:rPr>
      </w:pPr>
      <w:r>
        <w:rPr>
          <w:rFonts w:ascii="Times New Roman" w:hAnsi="Times New Roman" w:cs="Times New Roman"/>
          <w:noProof/>
        </w:rPr>
        <w:t>e-</w:t>
      </w:r>
      <w:r w:rsidR="00197EFD">
        <w:rPr>
          <w:rFonts w:ascii="Times New Roman" w:hAnsi="Times New Roman" w:cs="Times New Roman"/>
          <w:noProof/>
        </w:rPr>
        <w:t xml:space="preserve">6.       </w:t>
      </w:r>
      <w:r w:rsidR="00197EFD" w:rsidRPr="00D75750">
        <w:rPr>
          <w:rFonts w:ascii="Times New Roman" w:hAnsi="Times New Roman" w:cs="Times New Roman"/>
          <w:noProof/>
        </w:rPr>
        <w:t>Fischl B. FreeSurfer. Neuroimage. 2012;62(2):774-81.</w:t>
      </w:r>
    </w:p>
    <w:p w14:paraId="49062174" w14:textId="721A84D9" w:rsidR="00197EFD" w:rsidRPr="00290068" w:rsidRDefault="003E11D6" w:rsidP="00197EFD">
      <w:pPr>
        <w:pStyle w:val="EndNoteBibliography"/>
        <w:spacing w:line="480" w:lineRule="auto"/>
        <w:ind w:left="720" w:hanging="720"/>
        <w:rPr>
          <w:rFonts w:ascii="Times New Roman" w:hAnsi="Times New Roman" w:cs="Times New Roman"/>
          <w:noProof/>
          <w:lang w:val="da-DK"/>
        </w:rPr>
      </w:pPr>
      <w:r>
        <w:rPr>
          <w:rFonts w:ascii="Times New Roman" w:hAnsi="Times New Roman" w:cs="Times New Roman"/>
          <w:noProof/>
        </w:rPr>
        <w:lastRenderedPageBreak/>
        <w:t>e-</w:t>
      </w:r>
      <w:r w:rsidR="00197EFD">
        <w:rPr>
          <w:rFonts w:ascii="Times New Roman" w:hAnsi="Times New Roman" w:cs="Times New Roman"/>
          <w:noProof/>
        </w:rPr>
        <w:t xml:space="preserve">7.      </w:t>
      </w:r>
      <w:r w:rsidR="00197EFD" w:rsidRPr="00290068">
        <w:rPr>
          <w:rFonts w:ascii="Times New Roman" w:hAnsi="Times New Roman" w:cs="Times New Roman"/>
          <w:noProof/>
        </w:rPr>
        <w:t>Boyden SE, Desai A, Cruse G, Young ML, Bolan H C, Scott L et al. Vibratory urticaria associated with a missense variant in ADGRE2. New Eng. J. Med. 2016; 374: 656-663.</w:t>
      </w:r>
    </w:p>
    <w:p w14:paraId="417CABDB" w14:textId="77777777" w:rsidR="00197EFD" w:rsidRPr="00197EFD" w:rsidRDefault="00197EFD" w:rsidP="004C1847">
      <w:pPr>
        <w:pStyle w:val="EndNoteBibliography"/>
        <w:spacing w:line="480" w:lineRule="auto"/>
        <w:ind w:left="720" w:hanging="720"/>
        <w:rPr>
          <w:rFonts w:ascii="Times New Roman" w:hAnsi="Times New Roman" w:cs="Times New Roman"/>
          <w:noProof/>
          <w:lang w:val="da-DK"/>
        </w:rPr>
      </w:pPr>
    </w:p>
    <w:p w14:paraId="5401F47F" w14:textId="77E56081" w:rsidR="004C1847" w:rsidRDefault="00C31396" w:rsidP="004C1847">
      <w:pPr>
        <w:spacing w:line="480" w:lineRule="auto"/>
      </w:pPr>
      <w:r w:rsidRPr="00B94D5A">
        <w:rPr>
          <w:rFonts w:ascii="Times New Roman" w:hAnsi="Times New Roman" w:cs="Times New Roman"/>
          <w:lang w:val="en-US"/>
        </w:rPr>
        <w:fldChar w:fldCharType="end"/>
      </w:r>
    </w:p>
    <w:sectPr w:rsidR="004C1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96"/>
    <w:rsid w:val="00045957"/>
    <w:rsid w:val="00054C9E"/>
    <w:rsid w:val="000640A8"/>
    <w:rsid w:val="000D3247"/>
    <w:rsid w:val="00134BEA"/>
    <w:rsid w:val="00197EFD"/>
    <w:rsid w:val="001A0E3A"/>
    <w:rsid w:val="001A1052"/>
    <w:rsid w:val="001A4F11"/>
    <w:rsid w:val="002D6FEB"/>
    <w:rsid w:val="003E11D6"/>
    <w:rsid w:val="003F2C2B"/>
    <w:rsid w:val="004C1847"/>
    <w:rsid w:val="00610113"/>
    <w:rsid w:val="007365B0"/>
    <w:rsid w:val="00777E32"/>
    <w:rsid w:val="007860C4"/>
    <w:rsid w:val="00837F4B"/>
    <w:rsid w:val="008B7A9D"/>
    <w:rsid w:val="009E74B8"/>
    <w:rsid w:val="00A62067"/>
    <w:rsid w:val="00B10AD8"/>
    <w:rsid w:val="00C15B4C"/>
    <w:rsid w:val="00C31396"/>
    <w:rsid w:val="00D6745D"/>
    <w:rsid w:val="00DD7E1C"/>
    <w:rsid w:val="00F30F1A"/>
    <w:rsid w:val="00F70CC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28E4"/>
  <w15:chartTrackingRefBased/>
  <w15:docId w15:val="{CE6CB87E-DC5C-4979-8DCD-B272492A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39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EndNoteBibliographyChar">
    <w:name w:val="EndNote Bibliography Char"/>
    <w:basedOn w:val="Standardstycketeckensnitt"/>
    <w:link w:val="EndNoteBibliography"/>
    <w:locked/>
    <w:rsid w:val="00C31396"/>
    <w:rPr>
      <w:rFonts w:ascii="Calibri" w:hAnsi="Calibri" w:cs="Calibri"/>
      <w:lang w:val="en-US"/>
    </w:rPr>
  </w:style>
  <w:style w:type="paragraph" w:customStyle="1" w:styleId="EndNoteBibliography">
    <w:name w:val="EndNote Bibliography"/>
    <w:basedOn w:val="Normal"/>
    <w:link w:val="EndNoteBibliographyChar"/>
    <w:rsid w:val="00C31396"/>
    <w:pPr>
      <w:spacing w:line="240" w:lineRule="auto"/>
      <w:jc w:val="both"/>
    </w:pPr>
    <w:rPr>
      <w:rFonts w:ascii="Calibri" w:hAnsi="Calibri" w:cs="Calibri"/>
      <w:lang w:val="en-US"/>
    </w:rPr>
  </w:style>
  <w:style w:type="paragraph" w:styleId="Ballongtext">
    <w:name w:val="Balloon Text"/>
    <w:basedOn w:val="Normal"/>
    <w:link w:val="BallongtextChar"/>
    <w:uiPriority w:val="99"/>
    <w:semiHidden/>
    <w:unhideWhenUsed/>
    <w:rsid w:val="004C184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C1847"/>
    <w:rPr>
      <w:rFonts w:ascii="Segoe UI" w:hAnsi="Segoe UI" w:cs="Segoe UI"/>
      <w:sz w:val="18"/>
      <w:szCs w:val="18"/>
    </w:rPr>
  </w:style>
  <w:style w:type="character" w:styleId="Kommentarsreferens">
    <w:name w:val="annotation reference"/>
    <w:basedOn w:val="Standardstycketeckensnitt"/>
    <w:uiPriority w:val="99"/>
    <w:semiHidden/>
    <w:unhideWhenUsed/>
    <w:rsid w:val="00C15B4C"/>
    <w:rPr>
      <w:sz w:val="16"/>
      <w:szCs w:val="16"/>
    </w:rPr>
  </w:style>
  <w:style w:type="paragraph" w:styleId="Kommentarer">
    <w:name w:val="annotation text"/>
    <w:basedOn w:val="Normal"/>
    <w:link w:val="KommentarerChar"/>
    <w:uiPriority w:val="99"/>
    <w:semiHidden/>
    <w:unhideWhenUsed/>
    <w:rsid w:val="00C15B4C"/>
    <w:pPr>
      <w:spacing w:line="240" w:lineRule="auto"/>
    </w:pPr>
    <w:rPr>
      <w:sz w:val="20"/>
      <w:szCs w:val="20"/>
    </w:rPr>
  </w:style>
  <w:style w:type="character" w:customStyle="1" w:styleId="KommentarerChar">
    <w:name w:val="Kommentarer Char"/>
    <w:basedOn w:val="Standardstycketeckensnitt"/>
    <w:link w:val="Kommentarer"/>
    <w:uiPriority w:val="99"/>
    <w:semiHidden/>
    <w:rsid w:val="00C15B4C"/>
    <w:rPr>
      <w:sz w:val="20"/>
      <w:szCs w:val="20"/>
    </w:rPr>
  </w:style>
  <w:style w:type="paragraph" w:styleId="Kommentarsmne">
    <w:name w:val="annotation subject"/>
    <w:basedOn w:val="Kommentarer"/>
    <w:next w:val="Kommentarer"/>
    <w:link w:val="KommentarsmneChar"/>
    <w:uiPriority w:val="99"/>
    <w:semiHidden/>
    <w:unhideWhenUsed/>
    <w:rsid w:val="00C15B4C"/>
    <w:rPr>
      <w:b/>
      <w:bCs/>
    </w:rPr>
  </w:style>
  <w:style w:type="character" w:customStyle="1" w:styleId="KommentarsmneChar">
    <w:name w:val="Kommentarsämne Char"/>
    <w:basedOn w:val="KommentarerChar"/>
    <w:link w:val="Kommentarsmne"/>
    <w:uiPriority w:val="99"/>
    <w:semiHidden/>
    <w:rsid w:val="00C15B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3848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Thams</dc:creator>
  <cp:keywords/>
  <dc:description/>
  <cp:lastModifiedBy>martin paucar</cp:lastModifiedBy>
  <cp:revision>2</cp:revision>
  <dcterms:created xsi:type="dcterms:W3CDTF">2020-05-22T10:57:00Z</dcterms:created>
  <dcterms:modified xsi:type="dcterms:W3CDTF">2020-05-22T10:57:00Z</dcterms:modified>
</cp:coreProperties>
</file>