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D2629" w14:textId="2BC5636D" w:rsidR="00F27DF4" w:rsidRDefault="00F27DF4" w:rsidP="00BD7BC6">
      <w:pPr>
        <w:spacing w:line="48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val="en-IN" w:eastAsia="en-IN"/>
        </w:rPr>
        <w:drawing>
          <wp:inline distT="0" distB="0" distL="0" distR="0" wp14:anchorId="154F5DE3" wp14:editId="4EDA679A">
            <wp:extent cx="5943600" cy="4462145"/>
            <wp:effectExtent l="0" t="0" r="0" b="0"/>
            <wp:docPr id="6" name="Picture 6" descr="I:\ITEMS\NEURIMMINFL\NEURIMMINFL2019020313\LoginVerification\1\Table e-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ITEMS\NEURIMMINFL\NEURIMMINFL2019020313\LoginVerification\1\Table e-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DB1B4" w14:textId="77777777" w:rsidR="00F27DF4" w:rsidRDefault="00F27DF4" w:rsidP="00BD7BC6">
      <w:pPr>
        <w:spacing w:line="480" w:lineRule="auto"/>
        <w:jc w:val="both"/>
        <w:rPr>
          <w:rFonts w:ascii="Arial" w:hAnsi="Arial" w:cs="Arial"/>
          <w:b/>
          <w:lang w:val="en-US"/>
        </w:rPr>
      </w:pPr>
    </w:p>
    <w:p w14:paraId="5BE78A5E" w14:textId="77777777" w:rsidR="00BD7BC6" w:rsidRPr="00220648" w:rsidRDefault="00BD7BC6" w:rsidP="00BD7BC6">
      <w:pPr>
        <w:spacing w:line="480" w:lineRule="auto"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220648">
        <w:rPr>
          <w:rFonts w:ascii="Arial" w:hAnsi="Arial" w:cs="Arial"/>
          <w:b/>
          <w:lang w:val="en-US"/>
        </w:rPr>
        <w:t>Table e-1: Patients characteristics of MRI-defined severity groups</w:t>
      </w:r>
    </w:p>
    <w:p w14:paraId="5CB41B80" w14:textId="77777777" w:rsidR="00BD7BC6" w:rsidRPr="00220648" w:rsidRDefault="00BD7BC6" w:rsidP="00BD7BC6">
      <w:pPr>
        <w:spacing w:line="480" w:lineRule="auto"/>
        <w:jc w:val="both"/>
        <w:rPr>
          <w:rFonts w:ascii="Arial" w:hAnsi="Arial" w:cs="Arial"/>
          <w:lang w:val="en-US"/>
        </w:rPr>
      </w:pPr>
      <w:r w:rsidRPr="00220648">
        <w:rPr>
          <w:rFonts w:ascii="Arial" w:hAnsi="Arial" w:cs="Arial"/>
          <w:lang w:val="en-US"/>
        </w:rPr>
        <w:t xml:space="preserve">Age is presented as mean and range. EDSS is presented as median and range. Time from disease onset and CSF parameters are presented as mean ± SD. CIS=clinically isolated syndrome, RRMS = relapsing-remitting multiple sclerosis, NIND = non-inflammatory neurologic diseases, OIND = other inflammatory neurologic diseases, and CEL = contrast-enhancing lesion. </w:t>
      </w:r>
    </w:p>
    <w:p w14:paraId="048FF829" w14:textId="1AA35F56" w:rsidR="00BD7BC6" w:rsidRPr="00220648" w:rsidRDefault="00F27DF4" w:rsidP="00BD7BC6">
      <w:pPr>
        <w:spacing w:line="48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noProof/>
          <w:color w:val="000000" w:themeColor="text1"/>
          <w:sz w:val="22"/>
          <w:szCs w:val="22"/>
          <w:lang w:val="en-IN" w:eastAsia="en-IN"/>
        </w:rPr>
        <w:lastRenderedPageBreak/>
        <w:drawing>
          <wp:inline distT="0" distB="0" distL="0" distR="0" wp14:anchorId="18BE85AA" wp14:editId="0017584E">
            <wp:extent cx="5943600" cy="4462145"/>
            <wp:effectExtent l="0" t="0" r="0" b="0"/>
            <wp:docPr id="4" name="Picture 4" descr="I:\ITEMS\NEURIMMINFL\NEURIMMINFL2019020313\LoginVerification\1\Table e-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ITEMS\NEURIMMINFL\NEURIMMINFL2019020313\LoginVerification\1\Table e-2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FFDA2" w14:textId="77777777" w:rsidR="00BD7BC6" w:rsidRPr="00220648" w:rsidRDefault="00BD7BC6" w:rsidP="00BD7BC6">
      <w:pPr>
        <w:spacing w:line="480" w:lineRule="auto"/>
        <w:jc w:val="both"/>
        <w:rPr>
          <w:rFonts w:ascii="Arial" w:hAnsi="Arial" w:cs="Arial"/>
          <w:b/>
          <w:lang w:val="en-US"/>
        </w:rPr>
      </w:pPr>
      <w:r w:rsidRPr="00220648">
        <w:rPr>
          <w:rFonts w:ascii="Arial" w:hAnsi="Arial" w:cs="Arial"/>
          <w:b/>
          <w:lang w:val="en-US"/>
        </w:rPr>
        <w:t>Table e-2: Univariate regression analysis for CSF/serum biomarkers</w:t>
      </w:r>
    </w:p>
    <w:p w14:paraId="2622074B" w14:textId="77777777" w:rsidR="00BD7BC6" w:rsidRPr="00220648" w:rsidRDefault="00BD7BC6" w:rsidP="00BD7BC6">
      <w:pPr>
        <w:spacing w:line="480" w:lineRule="auto"/>
        <w:jc w:val="both"/>
        <w:rPr>
          <w:rFonts w:ascii="Arial" w:hAnsi="Arial" w:cs="Arial"/>
          <w:lang w:val="en-US"/>
        </w:rPr>
      </w:pPr>
      <w:r w:rsidRPr="00220648">
        <w:rPr>
          <w:rFonts w:ascii="Arial" w:hAnsi="Arial" w:cs="Arial"/>
          <w:lang w:val="en-US"/>
        </w:rPr>
        <w:t xml:space="preserve">Univariate regression analysis of indicated parameters for the allocation to MRI-defined disease severity groups (MRI-high versus MRI-low). Sex: females group was taken as reference category. Oligoclonal bands: positive group was taken as reference category. Statistically significant values are highlighted in bold. </w:t>
      </w:r>
    </w:p>
    <w:p w14:paraId="027EA11D" w14:textId="6C6BA3B8" w:rsidR="00BD7BC6" w:rsidRPr="00220648" w:rsidRDefault="00F27DF4" w:rsidP="00BD7BC6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noProof/>
          <w:color w:val="000000" w:themeColor="text1"/>
          <w:sz w:val="22"/>
          <w:szCs w:val="22"/>
          <w:lang w:val="en-IN" w:eastAsia="en-IN"/>
        </w:rPr>
        <w:lastRenderedPageBreak/>
        <w:drawing>
          <wp:inline distT="0" distB="0" distL="0" distR="0" wp14:anchorId="0308983C" wp14:editId="6CB4BAB5">
            <wp:extent cx="5943600" cy="4457700"/>
            <wp:effectExtent l="0" t="0" r="0" b="0"/>
            <wp:docPr id="2" name="Picture 2" descr="I:\ITEMS\NEURIMMINFL\NEURIMMINFL2019020313\LoginVerification\1\Supplemental Figure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ITEMS\NEURIMMINFL\NEURIMMINFL2019020313\LoginVerification\1\Supplemental Figure 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79958" w14:textId="77777777" w:rsidR="00BD7BC6" w:rsidRPr="00220648" w:rsidRDefault="00BD7BC6" w:rsidP="00BD7BC6">
      <w:pPr>
        <w:spacing w:line="480" w:lineRule="auto"/>
        <w:jc w:val="both"/>
        <w:rPr>
          <w:rFonts w:ascii="Arial" w:hAnsi="Arial" w:cs="Arial"/>
          <w:b/>
          <w:lang w:val="en-US"/>
        </w:rPr>
      </w:pPr>
      <w:r w:rsidRPr="00220648">
        <w:rPr>
          <w:rFonts w:ascii="Arial" w:hAnsi="Arial" w:cs="Arial"/>
          <w:b/>
          <w:lang w:val="en-US"/>
        </w:rPr>
        <w:t>Supplemental figure 1: Estimation of odds ratio</w:t>
      </w:r>
    </w:p>
    <w:p w14:paraId="0BC2AD93" w14:textId="77777777" w:rsidR="00BD7BC6" w:rsidRPr="00220648" w:rsidRDefault="00BD7BC6" w:rsidP="00BD7BC6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220648">
        <w:rPr>
          <w:rFonts w:ascii="Arial" w:hAnsi="Arial" w:cs="Arial"/>
          <w:lang w:val="en-US"/>
        </w:rPr>
        <w:t xml:space="preserve">Examination of additive information of cumulative sums and composite score reported by boxplots for odds ratios with whiskers representing 95% confidence interval. The dashed horizontal line at 0.5 indicates random chance.    </w:t>
      </w:r>
      <w:r w:rsidRPr="0022064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46899A66" w14:textId="77777777" w:rsidR="00BD7BC6" w:rsidRPr="00220648" w:rsidRDefault="00BD7BC6" w:rsidP="00BD7BC6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7F50529" w14:textId="77777777" w:rsidR="00BD7BC6" w:rsidRPr="00220648" w:rsidRDefault="00BD7BC6" w:rsidP="00BD7BC6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388D16C0" w14:textId="77777777" w:rsidR="00590CDC" w:rsidRDefault="00F27DF4">
      <w:bookmarkStart w:id="0" w:name="_GoBack"/>
      <w:bookmarkEnd w:id="0"/>
    </w:p>
    <w:sectPr w:rsidR="00590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C6"/>
    <w:rsid w:val="003F2739"/>
    <w:rsid w:val="00BD7BC6"/>
    <w:rsid w:val="00E00402"/>
    <w:rsid w:val="00F2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59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7D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DF4"/>
    <w:rPr>
      <w:rFonts w:ascii="Tahoma" w:eastAsia="Times New Roman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7D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DF4"/>
    <w:rPr>
      <w:rFonts w:ascii="Tahoma" w:eastAsia="Times New Roman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Sorenson</dc:creator>
  <cp:keywords/>
  <dc:description/>
  <cp:lastModifiedBy>SATHISH KUMAR R</cp:lastModifiedBy>
  <cp:revision>2</cp:revision>
  <dcterms:created xsi:type="dcterms:W3CDTF">2019-05-28T16:11:00Z</dcterms:created>
  <dcterms:modified xsi:type="dcterms:W3CDTF">2019-06-15T12:08:00Z</dcterms:modified>
</cp:coreProperties>
</file>