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D1" w:rsidRPr="00AF4FD1" w:rsidRDefault="00AF4FD1" w:rsidP="00AF4FD1">
      <w:pPr>
        <w:pStyle w:val="Geenafstand"/>
        <w:spacing w:line="480" w:lineRule="auto"/>
        <w:jc w:val="both"/>
        <w:rPr>
          <w:rFonts w:ascii="Times" w:hAnsi="Times" w:cs="Times New Roman"/>
          <w:b/>
          <w:sz w:val="24"/>
          <w:szCs w:val="24"/>
          <w:lang w:val="en-US"/>
        </w:rPr>
      </w:pPr>
      <w:r>
        <w:rPr>
          <w:rFonts w:ascii="Times" w:hAnsi="Times" w:cs="Times New Roman"/>
          <w:b/>
          <w:sz w:val="24"/>
          <w:szCs w:val="24"/>
          <w:lang w:val="en-US"/>
        </w:rPr>
        <w:t>Supplemental M</w:t>
      </w:r>
      <w:r w:rsidR="000F5FAF">
        <w:rPr>
          <w:rFonts w:ascii="Times" w:hAnsi="Times" w:cs="Times New Roman"/>
          <w:b/>
          <w:sz w:val="24"/>
          <w:szCs w:val="24"/>
          <w:lang w:val="en-US"/>
        </w:rPr>
        <w:t>ethods</w:t>
      </w:r>
    </w:p>
    <w:p w:rsidR="005532E2" w:rsidRDefault="00AF4FD1" w:rsidP="00AF4FD1">
      <w:pPr>
        <w:pStyle w:val="Geenafstand"/>
        <w:spacing w:line="480" w:lineRule="auto"/>
        <w:jc w:val="both"/>
        <w:rPr>
          <w:rFonts w:ascii="Times" w:hAnsi="Times" w:cs="Times New Roman"/>
          <w:sz w:val="24"/>
          <w:szCs w:val="24"/>
          <w:lang w:val="en-US"/>
        </w:rPr>
      </w:pPr>
      <w:r w:rsidRPr="00802E31">
        <w:rPr>
          <w:rFonts w:ascii="Times" w:hAnsi="Times" w:cs="Times New Roman"/>
          <w:sz w:val="24"/>
          <w:szCs w:val="24"/>
          <w:lang w:val="en-US"/>
        </w:rPr>
        <w:t>The following antibodies were used: anti-human C5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eculizumab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Alexion), mouse anti-human CD46-APC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ThermoFisher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#A15711, 1:50), mouse anti-human CD55-APC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BioLegend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#311312, 1:50), mouse anti-human CD59-APC (Life Technologies, #17-0596-42, 1:50), mouse anti-human CD35-AF647 (BD, #565329, 1:50), mouse anti-human CD11b-APC (Invitrogen, #17-0118-42, 1:50), mouse anti-human CD11c-APC (BD, #333144, 1:50), mouse anti-human C3aR-APC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Biolegend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#345805, 1:50), mouse anti-human C5aR-APC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Biolegend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#344309, 1:50), mouse anti-human C3-biotin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LSBio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#LS-C62849, 1:25), biotinylated polyclonal goat anti-human C3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MyBioSource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#MBS6003125, 1:2000) goat anti-human C4-biotin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MyBioSource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#MBS560216, 1:100), mouse anti-human C5b9-biotin (Bio-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Techne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#NBP2-23494, 1:500), Streptavidin-APC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eBioscience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 xml:space="preserve">, #17-4317-82, 1:100), 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Annexin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 xml:space="preserve"> V-PE (BD biosciences, #556422, 1:20), 7AAD (</w:t>
      </w:r>
      <w:proofErr w:type="spellStart"/>
      <w:r w:rsidRPr="00802E31">
        <w:rPr>
          <w:rFonts w:ascii="Times" w:hAnsi="Times" w:cs="Times New Roman"/>
          <w:sz w:val="24"/>
          <w:szCs w:val="24"/>
          <w:lang w:val="en-US"/>
        </w:rPr>
        <w:t>Pharmingen</w:t>
      </w:r>
      <w:proofErr w:type="spellEnd"/>
      <w:r w:rsidRPr="00802E31">
        <w:rPr>
          <w:rFonts w:ascii="Times" w:hAnsi="Times" w:cs="Times New Roman"/>
          <w:sz w:val="24"/>
          <w:szCs w:val="24"/>
          <w:lang w:val="en-US"/>
        </w:rPr>
        <w:t>, #555816, 1:25), goat anti-human IgM µ-chain-biotin (Sigma Aldrich, #B1265, 1:300), or respective isotypes.</w:t>
      </w:r>
    </w:p>
    <w:p w:rsidR="005532E2" w:rsidRDefault="005532E2">
      <w:pPr>
        <w:spacing w:after="160" w:line="259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br w:type="page"/>
      </w:r>
    </w:p>
    <w:p w:rsidR="005532E2" w:rsidRPr="005532E2" w:rsidRDefault="005532E2" w:rsidP="00AF4FD1">
      <w:pPr>
        <w:pStyle w:val="Geenafstand"/>
        <w:spacing w:line="480" w:lineRule="auto"/>
        <w:jc w:val="both"/>
        <w:rPr>
          <w:rFonts w:ascii="Times" w:hAnsi="Times" w:cs="Times New Roman"/>
          <w:b/>
          <w:sz w:val="24"/>
          <w:szCs w:val="24"/>
          <w:lang w:val="en-US"/>
        </w:rPr>
      </w:pPr>
      <w:r w:rsidRPr="005532E2">
        <w:rPr>
          <w:rFonts w:ascii="Times" w:hAnsi="Times" w:cs="Times New Roman"/>
          <w:b/>
          <w:sz w:val="24"/>
          <w:szCs w:val="24"/>
          <w:lang w:val="en-US"/>
        </w:rPr>
        <w:lastRenderedPageBreak/>
        <w:t>Table e-1: MMN patient characteristics</w:t>
      </w:r>
    </w:p>
    <w:tbl>
      <w:tblPr>
        <w:tblW w:w="10511" w:type="dxa"/>
        <w:tblInd w:w="-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911"/>
        <w:gridCol w:w="1463"/>
        <w:gridCol w:w="1941"/>
        <w:gridCol w:w="2058"/>
        <w:gridCol w:w="1393"/>
        <w:gridCol w:w="1471"/>
      </w:tblGrid>
      <w:tr w:rsidR="005532E2" w:rsidRPr="006B46CC" w:rsidTr="001F43FA">
        <w:trPr>
          <w:trHeight w:val="93"/>
        </w:trPr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</w:p>
        </w:tc>
      </w:tr>
      <w:tr w:rsidR="005532E2" w:rsidRPr="006B46CC" w:rsidTr="001F43FA">
        <w:trPr>
          <w:trHeight w:val="329"/>
        </w:trPr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 xml:space="preserve">Patient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Gender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Age at onset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Age at diagnosis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 xml:space="preserve">Anti-GM1 </w:t>
            </w:r>
            <w:proofErr w:type="spellStart"/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titer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EFNS 2010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proofErr w:type="spellStart"/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IVIg</w:t>
            </w:r>
            <w:proofErr w:type="spellEnd"/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 xml:space="preserve"> treatment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26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34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48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200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Probable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47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800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Female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48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6400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 xml:space="preserve">Male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Possible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Female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 xml:space="preserve">Definitive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32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Probable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No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Female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44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100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Probable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Female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49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400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N/A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Female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39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50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Probable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26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1600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Probable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MMN-052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66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69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25600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MMN-068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Female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51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66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1600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Definitive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  <w:tr w:rsidR="005532E2" w:rsidRPr="006B46CC" w:rsidTr="001F43FA">
        <w:trPr>
          <w:trHeight w:val="313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MMN-073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Male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szCs w:val="24"/>
                <w:lang w:val="en-GB" w:eastAsia="nl-NL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36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25600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 w:rsidRPr="006B46CC"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Probable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532E2" w:rsidRPr="006B46CC" w:rsidRDefault="005532E2" w:rsidP="001F4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nl-NL"/>
              </w:rPr>
              <w:t>Yes</w:t>
            </w:r>
          </w:p>
        </w:tc>
      </w:tr>
    </w:tbl>
    <w:p w:rsidR="005532E2" w:rsidRPr="006B46CC" w:rsidRDefault="005532E2" w:rsidP="005532E2">
      <w:pPr>
        <w:rPr>
          <w:sz w:val="20"/>
        </w:rPr>
      </w:pPr>
    </w:p>
    <w:p w:rsidR="005532E2" w:rsidRDefault="005532E2" w:rsidP="00AF4FD1">
      <w:pPr>
        <w:pStyle w:val="Geenafstand"/>
        <w:spacing w:line="48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:rsidR="005532E2" w:rsidRDefault="005532E2">
      <w:pPr>
        <w:spacing w:after="160" w:line="259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br w:type="page"/>
      </w:r>
    </w:p>
    <w:p w:rsidR="005532E2" w:rsidRDefault="005532E2" w:rsidP="005532E2">
      <w:pPr>
        <w:spacing w:line="480" w:lineRule="auto"/>
        <w:jc w:val="both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lastRenderedPageBreak/>
        <w:t xml:space="preserve">Figure e-1: qPCR analysis of </w:t>
      </w:r>
      <w:proofErr w:type="spellStart"/>
      <w:r>
        <w:rPr>
          <w:rFonts w:ascii="Times" w:hAnsi="Times" w:cs="Times New Roman"/>
          <w:b/>
          <w:sz w:val="24"/>
          <w:szCs w:val="24"/>
        </w:rPr>
        <w:t>mCRPs</w:t>
      </w:r>
      <w:proofErr w:type="spellEnd"/>
      <w:r>
        <w:rPr>
          <w:rFonts w:ascii="Times" w:hAnsi="Times" w:cs="Times New Roman"/>
          <w:b/>
          <w:sz w:val="24"/>
          <w:szCs w:val="24"/>
        </w:rPr>
        <w:t xml:space="preserve"> and CRs on iPSC-derived MNs</w:t>
      </w:r>
    </w:p>
    <w:p w:rsidR="005532E2" w:rsidRDefault="005532E2" w:rsidP="005532E2">
      <w:pPr>
        <w:spacing w:line="480" w:lineRule="auto"/>
        <w:jc w:val="both"/>
        <w:rPr>
          <w:rFonts w:ascii="Times" w:hAnsi="Times" w:cs="Times New Roman"/>
          <w:b/>
          <w:sz w:val="24"/>
          <w:szCs w:val="24"/>
        </w:rPr>
      </w:pPr>
      <w:r>
        <w:rPr>
          <w:noProof/>
          <w:lang w:val="nl-NL" w:eastAsia="nl-NL"/>
        </w:rPr>
        <w:drawing>
          <wp:inline distT="0" distB="0" distL="0" distR="0" wp14:anchorId="24A9DA74" wp14:editId="232E4C6A">
            <wp:extent cx="3619500" cy="248602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2E2" w:rsidRDefault="005532E2" w:rsidP="005532E2">
      <w:pPr>
        <w:spacing w:line="480" w:lineRule="auto"/>
        <w:jc w:val="both"/>
        <w:rPr>
          <w:rFonts w:ascii="Times" w:hAnsi="Times" w:cs="Times New Roman"/>
          <w:sz w:val="24"/>
          <w:szCs w:val="24"/>
        </w:rPr>
      </w:pPr>
      <w:bookmarkStart w:id="0" w:name="_GoBack"/>
      <w:bookmarkEnd w:id="0"/>
      <w:r>
        <w:rPr>
          <w:rFonts w:ascii="Times" w:hAnsi="Times" w:cs="Times New Roman"/>
          <w:sz w:val="24"/>
          <w:szCs w:val="24"/>
        </w:rPr>
        <w:t xml:space="preserve">mRNA was isolated from cultured iPSC MNs and PBMCs from healthy volunteers using the </w:t>
      </w:r>
      <w:proofErr w:type="spellStart"/>
      <w:r>
        <w:rPr>
          <w:rFonts w:ascii="Times" w:hAnsi="Times" w:cs="Times New Roman"/>
          <w:sz w:val="24"/>
          <w:szCs w:val="24"/>
        </w:rPr>
        <w:t>Qiagen</w:t>
      </w:r>
      <w:proofErr w:type="spellEnd"/>
      <w:r>
        <w:rPr>
          <w:rFonts w:ascii="Times" w:hAnsi="Times" w:cs="Times New Roman"/>
          <w:sz w:val="24"/>
          <w:szCs w:val="24"/>
        </w:rPr>
        <w:t xml:space="preserve"> </w:t>
      </w:r>
      <w:proofErr w:type="spellStart"/>
      <w:r>
        <w:rPr>
          <w:rFonts w:ascii="Times" w:hAnsi="Times" w:cs="Times New Roman"/>
          <w:sz w:val="24"/>
          <w:szCs w:val="24"/>
        </w:rPr>
        <w:t>miRNeasy</w:t>
      </w:r>
      <w:proofErr w:type="spellEnd"/>
      <w:r>
        <w:rPr>
          <w:rFonts w:ascii="Times" w:hAnsi="Times" w:cs="Times New Roman"/>
          <w:sz w:val="24"/>
          <w:szCs w:val="24"/>
        </w:rPr>
        <w:t xml:space="preserve"> kit. cDNA synthesis was conducted using </w:t>
      </w:r>
      <w:proofErr w:type="spellStart"/>
      <w:r>
        <w:rPr>
          <w:rFonts w:ascii="Times" w:hAnsi="Times" w:cs="Times New Roman"/>
          <w:sz w:val="24"/>
          <w:szCs w:val="24"/>
        </w:rPr>
        <w:t>SuperScript</w:t>
      </w:r>
      <w:proofErr w:type="spellEnd"/>
      <w:r>
        <w:rPr>
          <w:rFonts w:ascii="Times" w:hAnsi="Times" w:cs="Times New Roman"/>
          <w:sz w:val="24"/>
          <w:szCs w:val="24"/>
        </w:rPr>
        <w:t xml:space="preserve"> IV Reverse Transcriptase and Random Hexamer Primers according to manufacturer’s instructions (</w:t>
      </w:r>
      <w:proofErr w:type="spellStart"/>
      <w:r>
        <w:rPr>
          <w:rFonts w:ascii="Times" w:hAnsi="Times" w:cs="Times New Roman"/>
          <w:sz w:val="24"/>
          <w:szCs w:val="24"/>
        </w:rPr>
        <w:t>ThermoFisher</w:t>
      </w:r>
      <w:proofErr w:type="spellEnd"/>
      <w:r>
        <w:rPr>
          <w:rFonts w:ascii="Times" w:hAnsi="Times" w:cs="Times New Roman"/>
          <w:sz w:val="24"/>
          <w:szCs w:val="24"/>
        </w:rPr>
        <w:t xml:space="preserve">). qPCR analysis was conducted on a VIA7 using </w:t>
      </w:r>
      <w:proofErr w:type="spellStart"/>
      <w:r>
        <w:rPr>
          <w:rFonts w:ascii="Times" w:hAnsi="Times" w:cs="Times New Roman"/>
          <w:sz w:val="24"/>
          <w:szCs w:val="24"/>
        </w:rPr>
        <w:t>TaqMan</w:t>
      </w:r>
      <w:proofErr w:type="spellEnd"/>
      <w:r>
        <w:rPr>
          <w:rFonts w:ascii="Times" w:hAnsi="Times" w:cs="Times New Roman"/>
          <w:sz w:val="24"/>
          <w:szCs w:val="24"/>
        </w:rPr>
        <w:t xml:space="preserve"> Gene Expression Assay reagents. </w:t>
      </w:r>
      <w:proofErr w:type="spellStart"/>
      <w:r>
        <w:rPr>
          <w:rFonts w:ascii="Times" w:hAnsi="Times" w:cs="Times New Roman"/>
          <w:sz w:val="24"/>
          <w:szCs w:val="24"/>
        </w:rPr>
        <w:t>ActB</w:t>
      </w:r>
      <w:proofErr w:type="spellEnd"/>
      <w:r>
        <w:rPr>
          <w:rFonts w:ascii="Times" w:hAnsi="Times" w:cs="Times New Roman"/>
          <w:sz w:val="24"/>
          <w:szCs w:val="24"/>
        </w:rPr>
        <w:t xml:space="preserve"> was used as housekeeping gene, data were normalized and depicted as fold change (FC) to the expression of C3aR on PBMCs (set as one, *). Expression of CD46, CD55, CD59, and C3aR was confirmed. Lower levels of C5aR mRNA were detected. </w:t>
      </w:r>
    </w:p>
    <w:p w:rsidR="008D6406" w:rsidRDefault="008D6406" w:rsidP="00AF4FD1">
      <w:pPr>
        <w:pStyle w:val="Geenafstand"/>
        <w:spacing w:line="48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:rsidR="00414CF6" w:rsidRPr="005F3051" w:rsidRDefault="00414CF6" w:rsidP="00414C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4CF6" w:rsidRPr="005F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D1"/>
    <w:rsid w:val="000F5FAF"/>
    <w:rsid w:val="0024283E"/>
    <w:rsid w:val="002B3561"/>
    <w:rsid w:val="003F2CDA"/>
    <w:rsid w:val="00414CF6"/>
    <w:rsid w:val="00522240"/>
    <w:rsid w:val="005477DD"/>
    <w:rsid w:val="005532E2"/>
    <w:rsid w:val="005F3051"/>
    <w:rsid w:val="006F142D"/>
    <w:rsid w:val="007218EC"/>
    <w:rsid w:val="00845EB6"/>
    <w:rsid w:val="008D6406"/>
    <w:rsid w:val="00AF4FD1"/>
    <w:rsid w:val="00F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045D"/>
  <w15:chartTrackingRefBased/>
  <w15:docId w15:val="{9FE1118F-5947-4961-817C-329A862C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4CF6"/>
    <w:pPr>
      <w:spacing w:after="200" w:line="276" w:lineRule="auto"/>
    </w:pPr>
    <w:rPr>
      <w:rFonts w:ascii="Segoe UI" w:hAnsi="Segoe U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9359-8722-492F-B6F1-99C6C0EE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Budding, K.</dc:creator>
  <cp:keywords/>
  <dc:description/>
  <cp:lastModifiedBy>Kevin Budding</cp:lastModifiedBy>
  <cp:revision>11</cp:revision>
  <dcterms:created xsi:type="dcterms:W3CDTF">2020-07-23T08:45:00Z</dcterms:created>
  <dcterms:modified xsi:type="dcterms:W3CDTF">2021-03-17T13:40:00Z</dcterms:modified>
</cp:coreProperties>
</file>