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4E2CA" w14:textId="17802915" w:rsidR="002F4BD6" w:rsidRPr="00F31E39" w:rsidRDefault="000028A5" w:rsidP="00350DBC">
      <w:pPr>
        <w:spacing w:line="240" w:lineRule="aut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31E39">
        <w:rPr>
          <w:rFonts w:ascii="Arial" w:hAnsi="Arial" w:cs="Arial"/>
          <w:b/>
          <w:u w:val="single"/>
        </w:rPr>
        <w:t xml:space="preserve">Supplementary </w:t>
      </w:r>
      <w:r w:rsidR="00CD0FC9">
        <w:rPr>
          <w:rFonts w:ascii="Arial" w:hAnsi="Arial" w:cs="Arial"/>
          <w:b/>
          <w:u w:val="single"/>
        </w:rPr>
        <w:t>digital content</w:t>
      </w:r>
    </w:p>
    <w:p w14:paraId="1E9D316F" w14:textId="152885D0" w:rsidR="002F4BD6" w:rsidRDefault="000028A5" w:rsidP="00350DBC">
      <w:pPr>
        <w:spacing w:line="240" w:lineRule="auto"/>
        <w:rPr>
          <w:rFonts w:ascii="Arial" w:hAnsi="Arial" w:cs="Arial"/>
        </w:rPr>
      </w:pPr>
      <w:r w:rsidRPr="000028A5">
        <w:rPr>
          <w:rFonts w:ascii="Arial" w:hAnsi="Arial" w:cs="Arial"/>
        </w:rPr>
        <w:t>Backonja M, et al. Safety and efficacy of neublastin in painful lumbosacral radiculopathy: a randomized, double-blinded, placebo-controlled phase 2 trial using Bayesian adaptive design (the SPRINT trial)</w:t>
      </w:r>
      <w:r w:rsidR="00CD0FC9">
        <w:rPr>
          <w:rFonts w:ascii="Arial" w:hAnsi="Arial" w:cs="Arial"/>
        </w:rPr>
        <w:t>.</w:t>
      </w:r>
    </w:p>
    <w:p w14:paraId="0F7E1ED5" w14:textId="77777777" w:rsidR="002F4BD6" w:rsidRDefault="002F4BD6" w:rsidP="00350DBC">
      <w:pPr>
        <w:spacing w:line="240" w:lineRule="auto"/>
        <w:rPr>
          <w:rFonts w:ascii="Arial" w:hAnsi="Arial" w:cs="Arial"/>
        </w:rPr>
      </w:pPr>
    </w:p>
    <w:p w14:paraId="74718AFF" w14:textId="77777777" w:rsidR="002F4BD6" w:rsidRPr="002F4BD6" w:rsidRDefault="002F4BD6" w:rsidP="00350DBC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0028A5" w:rsidRPr="002F4BD6">
        <w:rPr>
          <w:rFonts w:ascii="Arial" w:hAnsi="Arial" w:cs="Arial"/>
          <w:b/>
        </w:rPr>
        <w:t xml:space="preserve">Statistical </w:t>
      </w:r>
      <w:r w:rsidRPr="002F4BD6">
        <w:rPr>
          <w:rFonts w:ascii="Arial" w:hAnsi="Arial" w:cs="Arial"/>
          <w:b/>
        </w:rPr>
        <w:t>modeling</w:t>
      </w:r>
      <w:r w:rsidR="002228E6">
        <w:rPr>
          <w:rFonts w:ascii="Arial" w:hAnsi="Arial" w:cs="Arial"/>
          <w:b/>
        </w:rPr>
        <w:t xml:space="preserve"> for adaptive design</w:t>
      </w:r>
    </w:p>
    <w:p w14:paraId="42EE4CA0" w14:textId="3D794BDB" w:rsidR="002F4BD6" w:rsidRDefault="002F4BD6" w:rsidP="00350DBC">
      <w:pPr>
        <w:spacing w:line="240" w:lineRule="auto"/>
        <w:rPr>
          <w:rFonts w:ascii="Arial" w:hAnsi="Arial" w:cs="Arial"/>
        </w:rPr>
      </w:pPr>
      <w:r w:rsidRPr="002F4BD6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interim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analysis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analysis,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pain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pruritus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</w:t>
      </w:r>
      <w:r w:rsidR="002228E6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analyzed.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analysis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include</w:t>
      </w:r>
      <w:r w:rsidR="002228E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1E2F50">
        <w:rPr>
          <w:rFonts w:ascii="Arial" w:hAnsi="Arial" w:cs="Arial"/>
        </w:rPr>
        <w:t>dose-</w:t>
      </w:r>
      <w:r w:rsidRPr="002F4BD6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models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endpoint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longitudinal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safety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endpoint.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5313C7">
        <w:rPr>
          <w:rFonts w:ascii="Arial" w:hAnsi="Arial" w:cs="Arial"/>
        </w:rPr>
        <w:t xml:space="preserve">2 </w:t>
      </w:r>
      <w:r w:rsidRPr="002F4BD6">
        <w:rPr>
          <w:rFonts w:ascii="Arial" w:hAnsi="Arial" w:cs="Arial"/>
        </w:rPr>
        <w:t>endpoints</w:t>
      </w:r>
      <w:r>
        <w:rPr>
          <w:rFonts w:ascii="Arial" w:hAnsi="Arial" w:cs="Arial"/>
        </w:rPr>
        <w:t xml:space="preserve"> </w:t>
      </w:r>
      <w:r w:rsidR="002228E6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combined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using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utility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function.</w:t>
      </w:r>
    </w:p>
    <w:p w14:paraId="4AFE76DB" w14:textId="77777777" w:rsidR="002F4BD6" w:rsidRDefault="002F4BD6" w:rsidP="00350DBC">
      <w:pPr>
        <w:spacing w:line="240" w:lineRule="auto"/>
        <w:rPr>
          <w:rFonts w:ascii="Arial" w:hAnsi="Arial" w:cs="Arial"/>
        </w:rPr>
      </w:pPr>
    </w:p>
    <w:p w14:paraId="1F229C82" w14:textId="45EA9D70" w:rsidR="002F4BD6" w:rsidRPr="002F4BD6" w:rsidRDefault="002F4BD6" w:rsidP="00350DBC">
      <w:pPr>
        <w:spacing w:line="240" w:lineRule="auto"/>
        <w:rPr>
          <w:rFonts w:ascii="Arial" w:hAnsi="Arial" w:cs="Arial"/>
          <w:i/>
        </w:rPr>
      </w:pPr>
      <w:r w:rsidRPr="002F4BD6">
        <w:rPr>
          <w:rFonts w:ascii="Arial" w:hAnsi="Arial" w:cs="Arial"/>
          <w:i/>
        </w:rPr>
        <w:t>1.1</w:t>
      </w:r>
      <w:r w:rsidR="00350DBC">
        <w:rPr>
          <w:rFonts w:ascii="Arial" w:hAnsi="Arial" w:cs="Arial"/>
          <w:i/>
        </w:rPr>
        <w:t>.</w:t>
      </w:r>
      <w:r w:rsidRPr="002F4BD6">
        <w:rPr>
          <w:rFonts w:ascii="Arial" w:hAnsi="Arial" w:cs="Arial"/>
          <w:i/>
        </w:rPr>
        <w:t xml:space="preserve"> Primary </w:t>
      </w:r>
      <w:r w:rsidR="00FA0E6B">
        <w:rPr>
          <w:rFonts w:ascii="Arial" w:hAnsi="Arial" w:cs="Arial"/>
          <w:i/>
        </w:rPr>
        <w:t>e</w:t>
      </w:r>
      <w:r w:rsidRPr="002F4BD6">
        <w:rPr>
          <w:rFonts w:ascii="Arial" w:hAnsi="Arial" w:cs="Arial"/>
          <w:i/>
        </w:rPr>
        <w:t xml:space="preserve">ndpoint </w:t>
      </w:r>
      <w:r w:rsidR="00FA0E6B">
        <w:rPr>
          <w:rFonts w:ascii="Arial" w:hAnsi="Arial" w:cs="Arial"/>
          <w:i/>
        </w:rPr>
        <w:t>m</w:t>
      </w:r>
      <w:r w:rsidRPr="002F4BD6">
        <w:rPr>
          <w:rFonts w:ascii="Arial" w:hAnsi="Arial" w:cs="Arial"/>
          <w:i/>
        </w:rPr>
        <w:t>odeling</w:t>
      </w:r>
    </w:p>
    <w:p w14:paraId="0DDADEC0" w14:textId="02BE0627" w:rsidR="000028A5" w:rsidRPr="002F4BD6" w:rsidRDefault="008F69FE" w:rsidP="00350DB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F4BD6" w:rsidRPr="002F4BD6">
        <w:rPr>
          <w:rFonts w:ascii="Arial" w:hAnsi="Arial" w:cs="Arial"/>
        </w:rPr>
        <w:t xml:space="preserve">he outcomes </w:t>
      </w:r>
      <w:r>
        <w:rPr>
          <w:rFonts w:ascii="Arial" w:hAnsi="Arial" w:cs="Arial"/>
        </w:rPr>
        <w:t xml:space="preserve">were modeled </w:t>
      </w:r>
      <w:r w:rsidR="002F4BD6" w:rsidRPr="002F4BD6">
        <w:rPr>
          <w:rFonts w:ascii="Arial" w:hAnsi="Arial" w:cs="Arial"/>
        </w:rPr>
        <w:t>as:</w:t>
      </w:r>
    </w:p>
    <w:p w14:paraId="1D546462" w14:textId="040C6600" w:rsidR="00262D8C" w:rsidRDefault="00262D8C" w:rsidP="00350DBC">
      <w:pPr>
        <w:spacing w:line="240" w:lineRule="auto"/>
        <w:jc w:val="center"/>
        <w:rPr>
          <w:rFonts w:ascii="Arial" w:hAnsi="Arial" w:cs="Arial"/>
        </w:rPr>
      </w:pPr>
      <w:r w:rsidRPr="00262D8C">
        <w:rPr>
          <w:rFonts w:ascii="Arial" w:hAnsi="Arial" w:cs="Arial"/>
          <w:noProof/>
          <w:lang w:val="en-US"/>
        </w:rPr>
        <w:drawing>
          <wp:inline distT="0" distB="0" distL="0" distR="0" wp14:anchorId="2F5AA9CE" wp14:editId="16F4C7B0">
            <wp:extent cx="1204856" cy="398033"/>
            <wp:effectExtent l="0" t="0" r="0" b="2540"/>
            <wp:docPr id="4" name="Picture 4" descr="C:\Users\harveye\Documents\Documents\Biogen\Neublastin\SPRINT\Journal comments\Second reviewer comments\Final draft\BG487-15 Biogen NPP SPRINT primary ms figures\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rveye\Documents\Documents\Biogen\Neublastin\SPRINT\Journal comments\Second reviewer comments\Final draft\BG487-15 Biogen NPP SPRINT primary ms figures\E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9" t="30588" r="17024" b="25860"/>
                    <a:stretch/>
                  </pic:blipFill>
                  <pic:spPr bwMode="auto">
                    <a:xfrm>
                      <a:off x="0" y="0"/>
                      <a:ext cx="1205494" cy="398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77E4C" w14:textId="7384C7B5" w:rsidR="002F4BD6" w:rsidRDefault="008F69FE" w:rsidP="001515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F4BD6" w:rsidRPr="002F4BD6">
        <w:rPr>
          <w:rFonts w:ascii="Arial" w:hAnsi="Arial" w:cs="Arial"/>
        </w:rPr>
        <w:t>here</w:t>
      </w:r>
      <w:r>
        <w:rPr>
          <w:rFonts w:ascii="Arial" w:hAnsi="Arial" w:cs="Arial"/>
        </w:rPr>
        <w:t xml:space="preserve"> </w:t>
      </w:r>
      <w:r w:rsidRPr="002228E6">
        <w:rPr>
          <w:rFonts w:ascii="Arial" w:hAnsi="Arial" w:cs="Arial"/>
          <w:i/>
        </w:rPr>
        <w:t>Y</w:t>
      </w:r>
      <w:r w:rsidRPr="002228E6">
        <w:rPr>
          <w:rFonts w:ascii="Arial" w:hAnsi="Arial" w:cs="Arial"/>
          <w:i/>
          <w:vertAlign w:val="subscript"/>
        </w:rPr>
        <w:t>i</w:t>
      </w:r>
      <w:r w:rsidRPr="002F4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Pr="002F4BD6">
        <w:rPr>
          <w:rFonts w:ascii="Arial" w:hAnsi="Arial" w:cs="Arial"/>
        </w:rPr>
        <w:t xml:space="preserve"> the change in </w:t>
      </w:r>
      <w:r w:rsidR="00454041">
        <w:rPr>
          <w:rFonts w:ascii="Arial" w:hAnsi="Arial" w:cs="Arial"/>
        </w:rPr>
        <w:t xml:space="preserve">mean </w:t>
      </w:r>
      <w:r w:rsidR="005313C7">
        <w:rPr>
          <w:rFonts w:ascii="Arial" w:hAnsi="Arial" w:cs="Arial"/>
        </w:rPr>
        <w:t>average general pain intensity (</w:t>
      </w:r>
      <w:r w:rsidR="00454041">
        <w:rPr>
          <w:rFonts w:ascii="Arial" w:hAnsi="Arial" w:cs="Arial"/>
        </w:rPr>
        <w:t>AGPI</w:t>
      </w:r>
      <w:r w:rsidR="005313C7">
        <w:rPr>
          <w:rFonts w:ascii="Arial" w:hAnsi="Arial" w:cs="Arial"/>
        </w:rPr>
        <w:t>)</w:t>
      </w:r>
      <w:r w:rsidRPr="002F4BD6">
        <w:rPr>
          <w:rFonts w:ascii="Arial" w:hAnsi="Arial" w:cs="Arial"/>
        </w:rPr>
        <w:t xml:space="preserve"> from baseline to </w:t>
      </w:r>
      <w:r>
        <w:rPr>
          <w:rFonts w:ascii="Arial" w:hAnsi="Arial" w:cs="Arial"/>
        </w:rPr>
        <w:t>1</w:t>
      </w:r>
      <w:r w:rsidR="005313C7"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 xml:space="preserve">week </w:t>
      </w:r>
      <w:r>
        <w:rPr>
          <w:rFonts w:ascii="Arial" w:hAnsi="Arial" w:cs="Arial"/>
        </w:rPr>
        <w:t>post</w:t>
      </w:r>
      <w:r w:rsidR="005313C7"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 xml:space="preserve">dose for the </w:t>
      </w:r>
      <w:r w:rsidRPr="00612E74">
        <w:rPr>
          <w:rFonts w:ascii="Arial" w:hAnsi="Arial" w:cs="Arial"/>
          <w:i/>
        </w:rPr>
        <w:t>i</w:t>
      </w:r>
      <w:r w:rsidRPr="0015151B">
        <w:rPr>
          <w:rFonts w:ascii="Arial" w:hAnsi="Arial" w:cs="Arial"/>
        </w:rPr>
        <w:t>th</w:t>
      </w:r>
      <w:r w:rsidRPr="002F4BD6">
        <w:rPr>
          <w:rFonts w:ascii="Arial" w:hAnsi="Arial" w:cs="Arial"/>
        </w:rPr>
        <w:t xml:space="preserve"> </w:t>
      </w:r>
      <w:r w:rsidR="005313C7">
        <w:rPr>
          <w:rFonts w:ascii="Arial" w:hAnsi="Arial" w:cs="Arial"/>
        </w:rPr>
        <w:t>patient</w:t>
      </w:r>
      <w:r>
        <w:rPr>
          <w:rFonts w:ascii="Arial" w:hAnsi="Arial" w:cs="Arial"/>
        </w:rPr>
        <w:t xml:space="preserve">, </w:t>
      </w:r>
      <w:r w:rsidR="002F4BD6" w:rsidRPr="002228E6">
        <w:rPr>
          <w:rFonts w:ascii="Arial" w:hAnsi="Arial" w:cs="Arial"/>
          <w:i/>
        </w:rPr>
        <w:t>θ</w:t>
      </w:r>
      <w:r w:rsidR="002F4BD6" w:rsidRPr="002228E6">
        <w:rPr>
          <w:rFonts w:ascii="Arial" w:hAnsi="Arial" w:cs="Arial"/>
          <w:i/>
          <w:vertAlign w:val="subscript"/>
        </w:rPr>
        <w:t>d</w:t>
      </w:r>
      <w:r w:rsidR="002F4BD6" w:rsidRPr="002228E6">
        <w:rPr>
          <w:rFonts w:ascii="Arial" w:hAnsi="Arial" w:cs="Arial"/>
          <w:i/>
        </w:rPr>
        <w:t xml:space="preserve"> </w:t>
      </w:r>
      <w:r w:rsidR="002F4BD6" w:rsidRPr="002F4BD6">
        <w:rPr>
          <w:rFonts w:ascii="Arial" w:hAnsi="Arial" w:cs="Arial"/>
        </w:rPr>
        <w:t>is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the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mean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response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for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dose</w:t>
      </w:r>
      <w:r w:rsidR="002F4BD6">
        <w:rPr>
          <w:rFonts w:ascii="Arial" w:hAnsi="Arial" w:cs="Arial"/>
        </w:rPr>
        <w:t xml:space="preserve"> </w:t>
      </w:r>
      <w:r w:rsidR="002F4BD6" w:rsidRPr="002228E6">
        <w:rPr>
          <w:rFonts w:ascii="Arial" w:hAnsi="Arial" w:cs="Arial"/>
          <w:i/>
        </w:rPr>
        <w:t>d</w:t>
      </w:r>
      <w:r>
        <w:rPr>
          <w:rFonts w:ascii="Arial" w:hAnsi="Arial" w:cs="Arial"/>
        </w:rPr>
        <w:t>, and t</w:t>
      </w:r>
      <w:r w:rsidR="002F4BD6" w:rsidRPr="002F4BD6">
        <w:rPr>
          <w:rFonts w:ascii="Arial" w:hAnsi="Arial" w:cs="Arial"/>
        </w:rPr>
        <w:t>he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treatment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arms</w:t>
      </w:r>
      <w:r w:rsidR="002F4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="002F4BD6" w:rsidRPr="002F4BD6">
        <w:rPr>
          <w:rFonts w:ascii="Arial" w:hAnsi="Arial" w:cs="Arial"/>
        </w:rPr>
        <w:t>:</w:t>
      </w:r>
      <w:r w:rsidR="002F4BD6">
        <w:rPr>
          <w:rFonts w:ascii="Arial" w:hAnsi="Arial" w:cs="Arial"/>
        </w:rPr>
        <w:t xml:space="preserve"> </w:t>
      </w:r>
      <w:r w:rsidR="002F4BD6" w:rsidRPr="002228E6">
        <w:rPr>
          <w:rFonts w:ascii="Arial" w:hAnsi="Arial" w:cs="Arial"/>
          <w:i/>
        </w:rPr>
        <w:t>d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=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0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(</w:t>
      </w:r>
      <w:r w:rsidR="00454041">
        <w:rPr>
          <w:rFonts w:ascii="Arial" w:hAnsi="Arial" w:cs="Arial"/>
        </w:rPr>
        <w:t>placebo</w:t>
      </w:r>
      <w:r w:rsidR="002F4BD6" w:rsidRPr="002F4BD6">
        <w:rPr>
          <w:rFonts w:ascii="Arial" w:hAnsi="Arial" w:cs="Arial"/>
        </w:rPr>
        <w:t>),</w:t>
      </w:r>
      <w:r w:rsidR="002F4BD6">
        <w:rPr>
          <w:rFonts w:ascii="Arial" w:hAnsi="Arial" w:cs="Arial"/>
        </w:rPr>
        <w:t xml:space="preserve"> </w:t>
      </w:r>
      <w:r w:rsidR="002F4BD6" w:rsidRPr="002228E6">
        <w:rPr>
          <w:rFonts w:ascii="Arial" w:hAnsi="Arial" w:cs="Arial"/>
          <w:i/>
        </w:rPr>
        <w:t>d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=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1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(50</w:t>
      </w:r>
      <w:r w:rsidR="002F4BD6">
        <w:rPr>
          <w:rFonts w:ascii="Arial" w:hAnsi="Arial" w:cs="Arial"/>
        </w:rPr>
        <w:t xml:space="preserve"> </w:t>
      </w:r>
      <w:r w:rsidR="00464230">
        <w:rPr>
          <w:rFonts w:ascii="Arial" w:hAnsi="Arial" w:cs="Arial"/>
        </w:rPr>
        <w:t>µ</w:t>
      </w:r>
      <w:r w:rsidR="002F4BD6" w:rsidRPr="002F4BD6">
        <w:rPr>
          <w:rFonts w:ascii="Arial" w:hAnsi="Arial" w:cs="Arial"/>
        </w:rPr>
        <w:t>g</w:t>
      </w:r>
      <w:r w:rsidR="00BD2678">
        <w:rPr>
          <w:rFonts w:ascii="Arial" w:hAnsi="Arial" w:cs="Arial"/>
        </w:rPr>
        <w:t>/kg</w:t>
      </w:r>
      <w:r w:rsidR="002F4BD6" w:rsidRPr="002F4BD6">
        <w:rPr>
          <w:rFonts w:ascii="Arial" w:hAnsi="Arial" w:cs="Arial"/>
        </w:rPr>
        <w:t>),</w:t>
      </w:r>
      <w:r w:rsidR="002F4BD6">
        <w:rPr>
          <w:rFonts w:ascii="Arial" w:hAnsi="Arial" w:cs="Arial"/>
        </w:rPr>
        <w:t xml:space="preserve"> </w:t>
      </w:r>
      <w:r w:rsidR="002F4BD6" w:rsidRPr="002228E6">
        <w:rPr>
          <w:rFonts w:ascii="Arial" w:hAnsi="Arial" w:cs="Arial"/>
          <w:i/>
        </w:rPr>
        <w:t>d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=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2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(150</w:t>
      </w:r>
      <w:r w:rsidR="002F4BD6">
        <w:rPr>
          <w:rFonts w:ascii="Arial" w:hAnsi="Arial" w:cs="Arial"/>
        </w:rPr>
        <w:t xml:space="preserve"> </w:t>
      </w:r>
      <w:r w:rsidR="00464230" w:rsidRPr="00373C22">
        <w:rPr>
          <w:rFonts w:ascii="Arial" w:hAnsi="Arial" w:cs="Arial"/>
        </w:rPr>
        <w:t>µg/kg</w:t>
      </w:r>
      <w:r w:rsidR="002F4BD6" w:rsidRPr="002F4BD6">
        <w:rPr>
          <w:rFonts w:ascii="Arial" w:hAnsi="Arial" w:cs="Arial"/>
        </w:rPr>
        <w:t>),</w:t>
      </w:r>
      <w:r w:rsidR="002F4BD6">
        <w:rPr>
          <w:rFonts w:ascii="Arial" w:hAnsi="Arial" w:cs="Arial"/>
        </w:rPr>
        <w:t xml:space="preserve"> </w:t>
      </w:r>
      <w:r w:rsidR="002F4BD6" w:rsidRPr="002228E6">
        <w:rPr>
          <w:rFonts w:ascii="Arial" w:hAnsi="Arial" w:cs="Arial"/>
          <w:i/>
        </w:rPr>
        <w:t>d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=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3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(400</w:t>
      </w:r>
      <w:r w:rsidR="002F4BD6">
        <w:rPr>
          <w:rFonts w:ascii="Arial" w:hAnsi="Arial" w:cs="Arial"/>
        </w:rPr>
        <w:t xml:space="preserve"> </w:t>
      </w:r>
      <w:r w:rsidR="00464230" w:rsidRPr="00373C22">
        <w:rPr>
          <w:rFonts w:ascii="Arial" w:hAnsi="Arial" w:cs="Arial"/>
        </w:rPr>
        <w:t>µg/kg</w:t>
      </w:r>
      <w:r w:rsidR="002F4BD6" w:rsidRPr="002F4BD6">
        <w:rPr>
          <w:rFonts w:ascii="Arial" w:hAnsi="Arial" w:cs="Arial"/>
        </w:rPr>
        <w:t>),</w:t>
      </w:r>
      <w:r w:rsidR="002F4BD6" w:rsidRPr="002228E6">
        <w:rPr>
          <w:rFonts w:ascii="Arial" w:hAnsi="Arial" w:cs="Arial"/>
          <w:i/>
        </w:rPr>
        <w:t xml:space="preserve"> d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=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4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(800</w:t>
      </w:r>
      <w:r w:rsidR="002F4BD6">
        <w:rPr>
          <w:rFonts w:ascii="Arial" w:hAnsi="Arial" w:cs="Arial"/>
        </w:rPr>
        <w:t xml:space="preserve"> </w:t>
      </w:r>
      <w:r w:rsidR="00464230" w:rsidRPr="00373C22">
        <w:rPr>
          <w:rFonts w:ascii="Arial" w:hAnsi="Arial" w:cs="Arial"/>
        </w:rPr>
        <w:t>µg/kg</w:t>
      </w:r>
      <w:r w:rsidR="002F4BD6" w:rsidRPr="002F4BD6">
        <w:rPr>
          <w:rFonts w:ascii="Arial" w:hAnsi="Arial" w:cs="Arial"/>
        </w:rPr>
        <w:t>),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and</w:t>
      </w:r>
      <w:r w:rsidR="002F4BD6">
        <w:rPr>
          <w:rFonts w:ascii="Arial" w:hAnsi="Arial" w:cs="Arial"/>
        </w:rPr>
        <w:t xml:space="preserve"> </w:t>
      </w:r>
      <w:r w:rsidR="002F4BD6" w:rsidRPr="002228E6">
        <w:rPr>
          <w:rFonts w:ascii="Arial" w:hAnsi="Arial" w:cs="Arial"/>
          <w:i/>
        </w:rPr>
        <w:t>d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=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5</w:t>
      </w:r>
      <w:r w:rsidR="002F4BD6">
        <w:rPr>
          <w:rFonts w:ascii="Arial" w:hAnsi="Arial" w:cs="Arial"/>
        </w:rPr>
        <w:t xml:space="preserve"> </w:t>
      </w:r>
      <w:r w:rsidR="002F4BD6" w:rsidRPr="002F4BD6">
        <w:rPr>
          <w:rFonts w:ascii="Arial" w:hAnsi="Arial" w:cs="Arial"/>
        </w:rPr>
        <w:t>(1200</w:t>
      </w:r>
      <w:r w:rsidR="002F4BD6">
        <w:rPr>
          <w:rFonts w:ascii="Arial" w:hAnsi="Arial" w:cs="Arial"/>
        </w:rPr>
        <w:t xml:space="preserve"> </w:t>
      </w:r>
      <w:r w:rsidR="00464230" w:rsidRPr="00373C22">
        <w:rPr>
          <w:rFonts w:ascii="Arial" w:hAnsi="Arial" w:cs="Arial"/>
        </w:rPr>
        <w:t>µg/kg</w:t>
      </w:r>
      <w:r w:rsidR="002F4BD6" w:rsidRPr="002F4BD6">
        <w:rPr>
          <w:rFonts w:ascii="Arial" w:hAnsi="Arial" w:cs="Arial"/>
        </w:rPr>
        <w:t>).</w:t>
      </w:r>
    </w:p>
    <w:p w14:paraId="7AC50C10" w14:textId="0BCCA52D" w:rsidR="002F4BD6" w:rsidRDefault="002F4BD6" w:rsidP="0015151B">
      <w:pPr>
        <w:spacing w:line="240" w:lineRule="auto"/>
        <w:ind w:firstLine="720"/>
        <w:rPr>
          <w:rFonts w:ascii="Arial" w:hAnsi="Arial" w:cs="Arial"/>
        </w:rPr>
      </w:pPr>
      <w:r w:rsidRPr="002F4BD6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construct</w:t>
      </w:r>
      <w:r w:rsidR="008F69FE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2228E6">
        <w:rPr>
          <w:rFonts w:ascii="Arial" w:hAnsi="Arial" w:cs="Arial"/>
        </w:rPr>
        <w:t>dose-</w:t>
      </w:r>
      <w:r w:rsidRPr="002F4BD6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mean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change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baseline.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F9098D">
        <w:rPr>
          <w:rFonts w:ascii="Arial" w:hAnsi="Arial" w:cs="Arial"/>
        </w:rPr>
        <w:t xml:space="preserve">placebo </w:t>
      </w:r>
      <w:r w:rsidRPr="002F4BD6">
        <w:rPr>
          <w:rFonts w:ascii="Arial" w:hAnsi="Arial" w:cs="Arial"/>
        </w:rPr>
        <w:t>arm</w:t>
      </w:r>
      <w:r>
        <w:rPr>
          <w:rFonts w:ascii="Arial" w:hAnsi="Arial" w:cs="Arial"/>
        </w:rPr>
        <w:t xml:space="preserve"> </w:t>
      </w:r>
      <w:r w:rsidR="008F69FE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modeled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separately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as</w:t>
      </w:r>
      <w:r>
        <w:rPr>
          <w:rFonts w:ascii="Arial" w:hAnsi="Arial" w:cs="Arial"/>
        </w:rPr>
        <w:t>:</w:t>
      </w:r>
    </w:p>
    <w:p w14:paraId="57413327" w14:textId="61571081" w:rsidR="00041D5D" w:rsidRDefault="00041D5D" w:rsidP="00350DBC">
      <w:pPr>
        <w:spacing w:line="240" w:lineRule="auto"/>
        <w:jc w:val="center"/>
        <w:rPr>
          <w:rFonts w:ascii="Arial" w:hAnsi="Arial" w:cs="Arial"/>
        </w:rPr>
      </w:pPr>
      <w:r w:rsidRPr="00041D5D">
        <w:rPr>
          <w:rFonts w:ascii="Arial" w:hAnsi="Arial" w:cs="Arial"/>
          <w:noProof/>
          <w:lang w:val="en-US"/>
        </w:rPr>
        <w:drawing>
          <wp:inline distT="0" distB="0" distL="0" distR="0" wp14:anchorId="303DB7A4" wp14:editId="18C5C1BA">
            <wp:extent cx="1172583" cy="311972"/>
            <wp:effectExtent l="0" t="0" r="8890" b="0"/>
            <wp:docPr id="46" name="Picture 46" descr="C:\Users\harveye\Documents\Documents\Biogen\Neublastin\SPRINT\Journal comments\Second reviewer comments\Final draft\BG487-15 Biogen NPP SPRINT primary ms figures\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arveye\Documents\Documents\Biogen\Neublastin\SPRINT\Journal comments\Second reviewer comments\Final draft\BG487-15 Biogen NPP SPRINT primary ms figures\E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7" t="35294" r="14653" b="30560"/>
                    <a:stretch/>
                  </pic:blipFill>
                  <pic:spPr bwMode="auto">
                    <a:xfrm>
                      <a:off x="0" y="0"/>
                      <a:ext cx="1173545" cy="31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7EBAAC" w14:textId="77777777" w:rsidR="002F4BD6" w:rsidRDefault="002F4BD6" w:rsidP="00350DBC">
      <w:pPr>
        <w:spacing w:line="240" w:lineRule="auto"/>
        <w:rPr>
          <w:rFonts w:ascii="Arial" w:hAnsi="Arial" w:cs="Arial"/>
        </w:rPr>
      </w:pPr>
      <w:r w:rsidRPr="002F4BD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treatment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arms</w:t>
      </w:r>
      <w:r>
        <w:rPr>
          <w:rFonts w:ascii="Arial" w:hAnsi="Arial" w:cs="Arial"/>
        </w:rPr>
        <w:t xml:space="preserve"> </w:t>
      </w:r>
      <w:r w:rsidR="008F69FE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modeled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8F69FE">
        <w:rPr>
          <w:rFonts w:ascii="Arial" w:hAnsi="Arial" w:cs="Arial"/>
        </w:rPr>
        <w:t>first-</w:t>
      </w:r>
      <w:r w:rsidRPr="002F4BD6">
        <w:rPr>
          <w:rFonts w:ascii="Arial" w:hAnsi="Arial" w:cs="Arial"/>
        </w:rPr>
        <w:t>order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normal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dynamic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linear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(NDLM).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</w:t>
      </w:r>
      <w:r w:rsidR="008F69FE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Gaussian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random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walk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model</w:t>
      </w:r>
      <w:r w:rsidR="008F69FE">
        <w:rPr>
          <w:rFonts w:ascii="Arial" w:hAnsi="Arial" w:cs="Arial"/>
        </w:rPr>
        <w:t>, and t</w:t>
      </w:r>
      <w:r w:rsidRPr="002F4BD6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r w:rsidRPr="002F4BD6">
        <w:rPr>
          <w:rFonts w:ascii="Arial" w:hAnsi="Arial" w:cs="Arial"/>
        </w:rPr>
        <w:t>structure</w:t>
      </w:r>
      <w:r>
        <w:rPr>
          <w:rFonts w:ascii="Arial" w:hAnsi="Arial" w:cs="Arial"/>
        </w:rPr>
        <w:t xml:space="preserve"> </w:t>
      </w:r>
      <w:r w:rsidR="008F69FE">
        <w:rPr>
          <w:rFonts w:ascii="Arial" w:hAnsi="Arial" w:cs="Arial"/>
        </w:rPr>
        <w:t>wa</w:t>
      </w:r>
      <w:r w:rsidRPr="002F4BD6">
        <w:rPr>
          <w:rFonts w:ascii="Arial" w:hAnsi="Arial" w:cs="Arial"/>
        </w:rPr>
        <w:t>s:</w:t>
      </w:r>
    </w:p>
    <w:p w14:paraId="52A6F943" w14:textId="1F696C33" w:rsidR="00262D8C" w:rsidRDefault="00262D8C" w:rsidP="00350DBC">
      <w:pPr>
        <w:spacing w:line="240" w:lineRule="auto"/>
        <w:jc w:val="center"/>
        <w:rPr>
          <w:rFonts w:ascii="Arial" w:hAnsi="Arial" w:cs="Arial"/>
        </w:rPr>
      </w:pPr>
      <w:r w:rsidRPr="00262D8C">
        <w:rPr>
          <w:rFonts w:ascii="Arial" w:hAnsi="Arial" w:cs="Arial"/>
          <w:noProof/>
          <w:lang w:val="en-US"/>
        </w:rPr>
        <w:drawing>
          <wp:inline distT="0" distB="0" distL="0" distR="0" wp14:anchorId="6E381671" wp14:editId="73210077">
            <wp:extent cx="1280160" cy="355002"/>
            <wp:effectExtent l="0" t="0" r="0" b="6985"/>
            <wp:docPr id="6" name="Picture 6" descr="C:\Users\harveye\Documents\Documents\Biogen\Neublastin\SPRINT\Journal comments\Second reviewer comments\Final draft\BG487-15 Biogen NPP SPRINT primary ms figures\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rveye\Documents\Documents\Biogen\Neublastin\SPRINT\Journal comments\Second reviewer comments\Final draft\BG487-15 Biogen NPP SPRINT primary ms figures\E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70" t="25882" r="13510" b="35284"/>
                    <a:stretch/>
                  </pic:blipFill>
                  <pic:spPr bwMode="auto">
                    <a:xfrm>
                      <a:off x="0" y="0"/>
                      <a:ext cx="1280513" cy="35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D9F1A" w14:textId="51B42EA0" w:rsidR="00262D8C" w:rsidRDefault="00262D8C" w:rsidP="00350DBC">
      <w:pPr>
        <w:spacing w:line="240" w:lineRule="auto"/>
        <w:jc w:val="center"/>
        <w:rPr>
          <w:rFonts w:ascii="Arial" w:hAnsi="Arial" w:cs="Arial"/>
        </w:rPr>
      </w:pPr>
      <w:r w:rsidRPr="00262D8C">
        <w:rPr>
          <w:rFonts w:ascii="Arial" w:hAnsi="Arial" w:cs="Arial"/>
          <w:noProof/>
          <w:lang w:val="en-US"/>
        </w:rPr>
        <w:drawing>
          <wp:inline distT="0" distB="0" distL="0" distR="0" wp14:anchorId="51FEC465" wp14:editId="2B89728B">
            <wp:extent cx="2624866" cy="311972"/>
            <wp:effectExtent l="0" t="0" r="4445" b="0"/>
            <wp:docPr id="7" name="Picture 7" descr="C:\Users\harveye\Documents\Documents\Biogen\Neublastin\SPRINT\Journal comments\Second reviewer comments\Final draft\BG487-15 Biogen NPP SPRINT primary ms figures\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rveye\Documents\Documents\Biogen\Neublastin\SPRINT\Journal comments\Second reviewer comments\Final draft\BG487-15 Biogen NPP SPRINT primary ms figures\E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" t="37647" r="1872" b="28201"/>
                    <a:stretch/>
                  </pic:blipFill>
                  <pic:spPr bwMode="auto">
                    <a:xfrm>
                      <a:off x="0" y="0"/>
                      <a:ext cx="2627447" cy="31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F96DC7" w14:textId="07AC0A2B" w:rsidR="002F4BD6" w:rsidRDefault="00491B32" w:rsidP="00350DBC">
      <w:pPr>
        <w:spacing w:line="240" w:lineRule="auto"/>
        <w:rPr>
          <w:rFonts w:ascii="Arial" w:hAnsi="Arial" w:cs="Arial"/>
        </w:rPr>
      </w:pPr>
      <w:r w:rsidRPr="00491B32">
        <w:rPr>
          <w:rFonts w:ascii="Arial" w:hAnsi="Arial" w:cs="Arial"/>
        </w:rPr>
        <w:t>While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appear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numbers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translate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"informative"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because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values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small,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help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remember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scale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on.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pain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score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11-</w:t>
      </w:r>
      <w:r w:rsidRPr="00491B32">
        <w:rPr>
          <w:rFonts w:ascii="Arial" w:hAnsi="Arial" w:cs="Arial"/>
        </w:rPr>
        <w:t>point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scale,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values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change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baseline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fall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between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−10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+10.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setting,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standard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deviation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mean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quite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reasonable.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values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reflect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belief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mean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control</w:t>
      </w:r>
      <w:r w:rsidR="00464230">
        <w:rPr>
          <w:rFonts w:ascii="Arial" w:hAnsi="Arial" w:cs="Arial"/>
        </w:rPr>
        <w:t xml:space="preserve"> (placebo)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initial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dose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within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range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−9.25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7.25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95%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probability.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drift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parameter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(variance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component)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τ</w:t>
      </w:r>
      <w:r w:rsidRPr="00C40E6F">
        <w:rPr>
          <w:rFonts w:ascii="Arial" w:hAnsi="Arial" w:cs="Arial"/>
          <w:i/>
          <w:vertAlign w:val="superscript"/>
        </w:rPr>
        <w:t>2</w:t>
      </w:r>
      <w:r w:rsidRPr="00C40E6F">
        <w:rPr>
          <w:rFonts w:ascii="Arial" w:hAnsi="Arial" w:cs="Arial"/>
          <w:i/>
        </w:rPr>
        <w:t xml:space="preserve"> </w:t>
      </w:r>
      <w:r w:rsidRPr="00491B32">
        <w:rPr>
          <w:rFonts w:ascii="Arial" w:hAnsi="Arial" w:cs="Arial"/>
        </w:rPr>
        <w:t>dictates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amount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smoothing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dose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dose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model.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="00F31E3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modeled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as</w:t>
      </w:r>
      <w:r>
        <w:rPr>
          <w:rFonts w:ascii="Arial" w:hAnsi="Arial" w:cs="Arial"/>
        </w:rPr>
        <w:t>:</w:t>
      </w:r>
    </w:p>
    <w:p w14:paraId="35612FE2" w14:textId="6B9CF13A" w:rsidR="00402598" w:rsidRDefault="00402598" w:rsidP="00350DBC">
      <w:pPr>
        <w:spacing w:line="240" w:lineRule="auto"/>
        <w:jc w:val="center"/>
        <w:rPr>
          <w:rFonts w:ascii="Arial" w:hAnsi="Arial" w:cs="Arial"/>
        </w:rPr>
      </w:pPr>
      <w:r w:rsidRPr="00402598">
        <w:rPr>
          <w:rFonts w:ascii="Arial" w:hAnsi="Arial" w:cs="Arial"/>
          <w:noProof/>
          <w:lang w:val="en-US"/>
        </w:rPr>
        <w:drawing>
          <wp:inline distT="0" distB="0" distL="0" distR="0" wp14:anchorId="67261423" wp14:editId="083BEAF8">
            <wp:extent cx="1516828" cy="322730"/>
            <wp:effectExtent l="0" t="0" r="7620" b="1270"/>
            <wp:docPr id="8" name="Picture 8" descr="C:\Users\harveye\Documents\Documents\Biogen\Neublastin\SPRINT\Journal comments\Second reviewer comments\Final draft\BG487-15 Biogen NPP SPRINT primary ms figures\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rveye\Documents\Documents\Biogen\Neublastin\SPRINT\Journal comments\Second reviewer comments\Final draft\BG487-15 Biogen NPP SPRINT primary ms figures\E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5" t="37647" r="8742" b="27024"/>
                    <a:stretch/>
                  </pic:blipFill>
                  <pic:spPr bwMode="auto">
                    <a:xfrm>
                      <a:off x="0" y="0"/>
                      <a:ext cx="1518319" cy="32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DC47E2" w14:textId="77777777" w:rsidR="00491B32" w:rsidRDefault="00F31E39" w:rsidP="00350DB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91B32" w:rsidRPr="00491B32">
        <w:rPr>
          <w:rFonts w:ascii="Arial" w:hAnsi="Arial" w:cs="Arial"/>
        </w:rPr>
        <w:t>here</w:t>
      </w:r>
      <w:r w:rsidR="00491B32">
        <w:rPr>
          <w:rFonts w:ascii="Arial" w:hAnsi="Arial" w:cs="Arial"/>
        </w:rPr>
        <w:t xml:space="preserve"> </w:t>
      </w:r>
      <w:r w:rsidR="00491B32" w:rsidRPr="00491B32">
        <w:rPr>
          <w:rFonts w:ascii="Arial" w:hAnsi="Arial" w:cs="Arial"/>
          <w:i/>
        </w:rPr>
        <w:t>IG(α, β)</w:t>
      </w:r>
      <w:r w:rsidR="00491B32">
        <w:rPr>
          <w:rFonts w:ascii="Arial" w:hAnsi="Arial" w:cs="Arial"/>
        </w:rPr>
        <w:t xml:space="preserve"> </w:t>
      </w:r>
      <w:r w:rsidR="00491B32" w:rsidRPr="00491B32">
        <w:rPr>
          <w:rFonts w:ascii="Arial" w:hAnsi="Arial" w:cs="Arial"/>
        </w:rPr>
        <w:t>is</w:t>
      </w:r>
      <w:r w:rsidR="00491B32">
        <w:rPr>
          <w:rFonts w:ascii="Arial" w:hAnsi="Arial" w:cs="Arial"/>
        </w:rPr>
        <w:t xml:space="preserve"> </w:t>
      </w:r>
      <w:r w:rsidR="00491B32" w:rsidRPr="00491B32">
        <w:rPr>
          <w:rFonts w:ascii="Arial" w:hAnsi="Arial" w:cs="Arial"/>
        </w:rPr>
        <w:t>the</w:t>
      </w:r>
      <w:r w:rsidR="00491B32">
        <w:rPr>
          <w:rFonts w:ascii="Arial" w:hAnsi="Arial" w:cs="Arial"/>
        </w:rPr>
        <w:t xml:space="preserve"> </w:t>
      </w:r>
      <w:r w:rsidR="00491B32" w:rsidRPr="00491B32">
        <w:rPr>
          <w:rFonts w:ascii="Arial" w:hAnsi="Arial" w:cs="Arial"/>
        </w:rPr>
        <w:t>inverse</w:t>
      </w:r>
      <w:r w:rsidR="00491B32">
        <w:rPr>
          <w:rFonts w:ascii="Arial" w:hAnsi="Arial" w:cs="Arial"/>
        </w:rPr>
        <w:t xml:space="preserve"> </w:t>
      </w:r>
      <w:r w:rsidR="00491B32" w:rsidRPr="00491B32">
        <w:rPr>
          <w:rFonts w:ascii="Arial" w:hAnsi="Arial" w:cs="Arial"/>
        </w:rPr>
        <w:t>gamma</w:t>
      </w:r>
      <w:r w:rsidR="00491B32">
        <w:rPr>
          <w:rFonts w:ascii="Arial" w:hAnsi="Arial" w:cs="Arial"/>
        </w:rPr>
        <w:t xml:space="preserve"> </w:t>
      </w:r>
      <w:r w:rsidR="00491B32" w:rsidRPr="00491B32">
        <w:rPr>
          <w:rFonts w:ascii="Arial" w:hAnsi="Arial" w:cs="Arial"/>
        </w:rPr>
        <w:t>distribution</w:t>
      </w:r>
      <w:r w:rsidR="00491B32">
        <w:rPr>
          <w:rFonts w:ascii="Arial" w:hAnsi="Arial" w:cs="Arial"/>
        </w:rPr>
        <w:t xml:space="preserve"> </w:t>
      </w:r>
      <w:r w:rsidR="00491B32" w:rsidRPr="00491B32">
        <w:rPr>
          <w:rFonts w:ascii="Arial" w:hAnsi="Arial" w:cs="Arial"/>
        </w:rPr>
        <w:t>defined</w:t>
      </w:r>
      <w:r w:rsidR="00491B32">
        <w:rPr>
          <w:rFonts w:ascii="Arial" w:hAnsi="Arial" w:cs="Arial"/>
        </w:rPr>
        <w:t xml:space="preserve"> </w:t>
      </w:r>
      <w:r w:rsidR="00491B32" w:rsidRPr="00491B32">
        <w:rPr>
          <w:rFonts w:ascii="Arial" w:hAnsi="Arial" w:cs="Arial"/>
        </w:rPr>
        <w:t>by:</w:t>
      </w:r>
      <w:r w:rsidR="00491B32">
        <w:rPr>
          <w:rFonts w:ascii="Arial" w:hAnsi="Arial" w:cs="Arial"/>
        </w:rPr>
        <w:t xml:space="preserve"> </w:t>
      </w:r>
    </w:p>
    <w:p w14:paraId="78FC0F70" w14:textId="7F781D5B" w:rsidR="00402598" w:rsidRDefault="00402598" w:rsidP="00350DBC">
      <w:pPr>
        <w:spacing w:line="240" w:lineRule="auto"/>
        <w:jc w:val="center"/>
        <w:rPr>
          <w:rFonts w:ascii="Arial" w:hAnsi="Arial" w:cs="Arial"/>
        </w:rPr>
      </w:pPr>
      <w:r w:rsidRPr="00402598">
        <w:rPr>
          <w:rFonts w:ascii="Arial" w:hAnsi="Arial" w:cs="Arial"/>
          <w:noProof/>
          <w:lang w:val="en-US"/>
        </w:rPr>
        <w:drawing>
          <wp:inline distT="0" distB="0" distL="0" distR="0" wp14:anchorId="1111014A" wp14:editId="58ACB27A">
            <wp:extent cx="2000922" cy="623944"/>
            <wp:effectExtent l="0" t="0" r="0" b="5080"/>
            <wp:docPr id="9" name="Picture 9" descr="C:\Users\harveye\Documents\Documents\Biogen\Neublastin\SPRINT\Journal comments\Second reviewer comments\Final draft\BG487-15 Biogen NPP SPRINT primary ms figures\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arveye\Documents\Documents\Biogen\Neublastin\SPRINT\Journal comments\Second reviewer comments\Final draft\BG487-15 Biogen NPP SPRINT primary ms figures\E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26" t="16471" r="13284" b="15247"/>
                    <a:stretch/>
                  </pic:blipFill>
                  <pic:spPr bwMode="auto">
                    <a:xfrm>
                      <a:off x="0" y="0"/>
                      <a:ext cx="2002293" cy="6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529F9A" w14:textId="6CECF355" w:rsidR="00491B32" w:rsidRDefault="00491B32" w:rsidP="00350DBC">
      <w:pPr>
        <w:spacing w:line="240" w:lineRule="auto"/>
        <w:rPr>
          <w:rFonts w:ascii="Arial" w:hAnsi="Arial" w:cs="Arial"/>
        </w:rPr>
      </w:pPr>
      <w:r w:rsidRPr="00491B32">
        <w:rPr>
          <w:rFonts w:ascii="Arial" w:hAnsi="Arial" w:cs="Arial"/>
        </w:rPr>
        <w:lastRenderedPageBreak/>
        <w:t>The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 xml:space="preserve">τ </w:t>
      </w:r>
      <w:r w:rsidRPr="00491B32">
        <w:rPr>
          <w:rFonts w:ascii="Arial" w:hAnsi="Arial" w:cs="Arial"/>
        </w:rPr>
        <w:t>parameter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important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NDLM.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Small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values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15151B">
        <w:rPr>
          <w:rFonts w:ascii="Arial" w:hAnsi="Arial" w:cs="Arial"/>
          <w:i/>
        </w:rPr>
        <w:t>τ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indicate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responses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successive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doses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likely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very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close,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there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“borrowing”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(smoothing).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feature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learn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 xml:space="preserve">τ </w:t>
      </w:r>
      <w:r w:rsidRPr="00491B32">
        <w:rPr>
          <w:rFonts w:ascii="Arial" w:hAnsi="Arial" w:cs="Arial"/>
        </w:rPr>
        <w:t>based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dose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arms.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τ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helps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dictate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amount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borrowing.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does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help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inform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distribution,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but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matters</w:t>
      </w:r>
      <w:r>
        <w:rPr>
          <w:rFonts w:ascii="Arial" w:hAnsi="Arial" w:cs="Arial"/>
        </w:rPr>
        <w:t xml:space="preserve"> </w:t>
      </w:r>
      <w:r w:rsidR="005313C7">
        <w:rPr>
          <w:rFonts w:ascii="Arial" w:hAnsi="Arial" w:cs="Arial"/>
        </w:rPr>
        <w:t xml:space="preserve">because </w:t>
      </w:r>
      <w:r w:rsidRPr="00491B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only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doses.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use</w:t>
      </w:r>
      <w:r w:rsidR="00F31E3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corresponds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observation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worth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data,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chosen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give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appropriate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amount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smoothing.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variance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primary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endpoint,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σ</w:t>
      </w:r>
      <w:r w:rsidRPr="0015151B">
        <w:rPr>
          <w:rFonts w:ascii="Arial" w:hAnsi="Arial" w:cs="Arial"/>
          <w:i/>
          <w:vertAlign w:val="superscript"/>
        </w:rPr>
        <w:t>2</w:t>
      </w:r>
      <w:r w:rsidRPr="00C40E6F">
        <w:rPr>
          <w:rFonts w:ascii="Arial" w:hAnsi="Arial" w:cs="Arial"/>
          <w:i/>
        </w:rPr>
        <w:t xml:space="preserve"> </w:t>
      </w:r>
      <w:r w:rsidR="00F31E3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modeled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prior:</w:t>
      </w:r>
    </w:p>
    <w:p w14:paraId="35711F19" w14:textId="31786431" w:rsidR="00402598" w:rsidRDefault="00402598" w:rsidP="003F1A68">
      <w:pPr>
        <w:spacing w:line="240" w:lineRule="auto"/>
        <w:jc w:val="center"/>
        <w:rPr>
          <w:rFonts w:ascii="Arial" w:hAnsi="Arial" w:cs="Arial"/>
        </w:rPr>
      </w:pPr>
      <w:r w:rsidRPr="00402598">
        <w:rPr>
          <w:rFonts w:ascii="Arial" w:hAnsi="Arial" w:cs="Arial"/>
          <w:noProof/>
          <w:lang w:val="en-US"/>
        </w:rPr>
        <w:drawing>
          <wp:inline distT="0" distB="0" distL="0" distR="0" wp14:anchorId="44EBFA44" wp14:editId="272B2A60">
            <wp:extent cx="1323190" cy="322729"/>
            <wp:effectExtent l="0" t="0" r="0" b="1270"/>
            <wp:docPr id="10" name="Picture 10" descr="C:\Users\harveye\Documents\Documents\Biogen\Neublastin\SPRINT\Journal comments\Second reviewer comments\Final draft\BG487-15 Biogen NPP SPRINT primary ms figures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arveye\Documents\Documents\Biogen\Neublastin\SPRINT\Journal comments\Second reviewer comments\Final draft\BG487-15 Biogen NPP SPRINT primary ms figures\E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8" t="30588" r="7020" b="34099"/>
                    <a:stretch/>
                  </pic:blipFill>
                  <pic:spPr bwMode="auto">
                    <a:xfrm>
                      <a:off x="0" y="0"/>
                      <a:ext cx="1323891" cy="3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AB1795" w14:textId="11B9C0D3" w:rsidR="00491B32" w:rsidRDefault="00B405E2" w:rsidP="00350DBC">
      <w:pPr>
        <w:spacing w:line="240" w:lineRule="auto"/>
        <w:rPr>
          <w:rFonts w:ascii="Arial" w:hAnsi="Arial" w:cs="Arial"/>
        </w:rPr>
      </w:pPr>
      <w:r w:rsidRPr="00B405E2">
        <w:rPr>
          <w:rFonts w:ascii="Arial" w:hAnsi="Arial" w:cs="Arial"/>
        </w:rPr>
        <w:t xml:space="preserve">Posterior quantities were calculated using </w:t>
      </w:r>
      <w:r w:rsidR="005313C7" w:rsidRPr="005313C7">
        <w:rPr>
          <w:rFonts w:ascii="Arial" w:hAnsi="Arial" w:cs="Arial"/>
        </w:rPr>
        <w:t xml:space="preserve">Markov chain Monte Carlo </w:t>
      </w:r>
      <w:r w:rsidR="005313C7">
        <w:rPr>
          <w:rFonts w:ascii="Arial" w:hAnsi="Arial" w:cs="Arial"/>
        </w:rPr>
        <w:t>(</w:t>
      </w:r>
      <w:r w:rsidRPr="00B405E2">
        <w:rPr>
          <w:rFonts w:ascii="Arial" w:hAnsi="Arial" w:cs="Arial"/>
        </w:rPr>
        <w:t>MCMC</w:t>
      </w:r>
      <w:r w:rsidR="005313C7">
        <w:rPr>
          <w:rFonts w:ascii="Arial" w:hAnsi="Arial" w:cs="Arial"/>
        </w:rPr>
        <w:t>)</w:t>
      </w:r>
      <w:r w:rsidRPr="00B405E2">
        <w:rPr>
          <w:rFonts w:ascii="Arial" w:hAnsi="Arial" w:cs="Arial"/>
        </w:rPr>
        <w:t xml:space="preserve"> samples from a single chain of length 2500 </w:t>
      </w:r>
      <w:r w:rsidR="0086132B">
        <w:rPr>
          <w:rFonts w:ascii="Arial" w:hAnsi="Arial" w:cs="Arial"/>
        </w:rPr>
        <w:t>after a burn-in period of 1000.</w:t>
      </w:r>
    </w:p>
    <w:p w14:paraId="0990484C" w14:textId="77777777" w:rsidR="0086132B" w:rsidRPr="00B405E2" w:rsidRDefault="0086132B" w:rsidP="00350DBC">
      <w:pPr>
        <w:spacing w:line="240" w:lineRule="auto"/>
        <w:rPr>
          <w:rFonts w:ascii="Arial" w:hAnsi="Arial" w:cs="Arial"/>
        </w:rPr>
      </w:pPr>
    </w:p>
    <w:p w14:paraId="07B4890C" w14:textId="3B5C7370" w:rsidR="00491B32" w:rsidRPr="00491B32" w:rsidRDefault="00491B32" w:rsidP="00350DBC">
      <w:pPr>
        <w:spacing w:line="240" w:lineRule="auto"/>
        <w:rPr>
          <w:rFonts w:ascii="Arial" w:hAnsi="Arial" w:cs="Arial"/>
          <w:i/>
        </w:rPr>
      </w:pPr>
      <w:r w:rsidRPr="00491B32">
        <w:rPr>
          <w:rFonts w:ascii="Arial" w:hAnsi="Arial" w:cs="Arial"/>
          <w:i/>
        </w:rPr>
        <w:t xml:space="preserve">1.2. Secondary </w:t>
      </w:r>
      <w:r w:rsidR="00FA0E6B">
        <w:rPr>
          <w:rFonts w:ascii="Arial" w:hAnsi="Arial" w:cs="Arial"/>
          <w:i/>
        </w:rPr>
        <w:t>e</w:t>
      </w:r>
      <w:r w:rsidRPr="00491B32">
        <w:rPr>
          <w:rFonts w:ascii="Arial" w:hAnsi="Arial" w:cs="Arial"/>
          <w:i/>
        </w:rPr>
        <w:t xml:space="preserve">ndpoint </w:t>
      </w:r>
      <w:r w:rsidR="00FA0E6B">
        <w:rPr>
          <w:rFonts w:ascii="Arial" w:hAnsi="Arial" w:cs="Arial"/>
          <w:i/>
        </w:rPr>
        <w:t>m</w:t>
      </w:r>
      <w:r w:rsidRPr="00491B32">
        <w:rPr>
          <w:rFonts w:ascii="Arial" w:hAnsi="Arial" w:cs="Arial"/>
          <w:i/>
        </w:rPr>
        <w:t>odeling</w:t>
      </w:r>
    </w:p>
    <w:p w14:paraId="33FA43A3" w14:textId="126F6F45" w:rsidR="00491B32" w:rsidRDefault="00491B32" w:rsidP="00350DBC">
      <w:pPr>
        <w:spacing w:line="240" w:lineRule="auto"/>
        <w:rPr>
          <w:rFonts w:ascii="Arial" w:hAnsi="Arial" w:cs="Arial"/>
        </w:rPr>
      </w:pPr>
      <w:r w:rsidRPr="00491B32">
        <w:rPr>
          <w:rFonts w:ascii="Arial" w:hAnsi="Arial" w:cs="Arial"/>
        </w:rPr>
        <w:t>Pruritus</w:t>
      </w:r>
      <w:r>
        <w:rPr>
          <w:rFonts w:ascii="Arial" w:hAnsi="Arial" w:cs="Arial"/>
        </w:rPr>
        <w:t xml:space="preserve"> </w:t>
      </w:r>
      <w:r w:rsidR="008E20E8">
        <w:rPr>
          <w:rFonts w:ascii="Arial" w:hAnsi="Arial" w:cs="Arial"/>
        </w:rPr>
        <w:t xml:space="preserve">impact (“the itch is severe enough to cause major problems for me”) </w:t>
      </w:r>
      <w:r w:rsidR="00C40E6F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assessed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during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week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patient’s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participation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trial.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let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X</w:t>
      </w:r>
      <w:r w:rsidRPr="00C40E6F">
        <w:rPr>
          <w:rFonts w:ascii="Arial" w:hAnsi="Arial" w:cs="Arial"/>
          <w:i/>
          <w:vertAlign w:val="subscript"/>
        </w:rPr>
        <w:t>it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pruritus</w:t>
      </w:r>
      <w:r>
        <w:rPr>
          <w:rFonts w:ascii="Arial" w:hAnsi="Arial" w:cs="Arial"/>
        </w:rPr>
        <w:t xml:space="preserve"> </w:t>
      </w:r>
      <w:r w:rsidR="008E20E8">
        <w:rPr>
          <w:rFonts w:ascii="Arial" w:hAnsi="Arial" w:cs="Arial"/>
        </w:rPr>
        <w:t xml:space="preserve">impact </w:t>
      </w:r>
      <w:r w:rsidRPr="00491B32">
        <w:rPr>
          <w:rFonts w:ascii="Arial" w:hAnsi="Arial" w:cs="Arial"/>
        </w:rPr>
        <w:t>indicator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i</w:t>
      </w:r>
      <w:r w:rsidRPr="0015151B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subject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week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t</w:t>
      </w:r>
      <w:r w:rsidRPr="00491B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let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π</w:t>
      </w:r>
      <w:r w:rsidRPr="00C40E6F">
        <w:rPr>
          <w:rFonts w:ascii="Arial" w:hAnsi="Arial" w:cs="Arial"/>
          <w:i/>
          <w:vertAlign w:val="subscript"/>
        </w:rPr>
        <w:t>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Pr(</w:t>
      </w:r>
      <w:r w:rsidRPr="00C40E6F">
        <w:rPr>
          <w:rFonts w:ascii="Arial" w:hAnsi="Arial" w:cs="Arial"/>
          <w:i/>
        </w:rPr>
        <w:t>X</w:t>
      </w:r>
      <w:r w:rsidRPr="00C40E6F">
        <w:rPr>
          <w:rFonts w:ascii="Arial" w:hAnsi="Arial" w:cs="Arial"/>
          <w:i/>
          <w:vertAlign w:val="subscript"/>
        </w:rPr>
        <w:t>i4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|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d</w:t>
      </w:r>
      <w:r w:rsidRPr="00C40E6F">
        <w:rPr>
          <w:rFonts w:ascii="Arial" w:hAnsi="Arial" w:cs="Arial"/>
          <w:i/>
          <w:vertAlign w:val="subscript"/>
        </w:rPr>
        <w:t>i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d</w:t>
      </w:r>
      <w:r w:rsidRPr="00491B3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probability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pruritus</w:t>
      </w:r>
      <w:r>
        <w:rPr>
          <w:rFonts w:ascii="Arial" w:hAnsi="Arial" w:cs="Arial"/>
        </w:rPr>
        <w:t xml:space="preserve"> </w:t>
      </w:r>
      <w:r w:rsidR="00CE1DBF">
        <w:rPr>
          <w:rFonts w:ascii="Arial" w:hAnsi="Arial" w:cs="Arial"/>
        </w:rPr>
        <w:t xml:space="preserve">impact </w:t>
      </w:r>
      <w:r w:rsidRPr="00491B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week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dose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d</w:t>
      </w:r>
      <w:r w:rsidRPr="00491B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transform</w:t>
      </w:r>
      <w:r w:rsidR="00C40E6F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dichotomous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continuous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scale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modeling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purposes</w:t>
      </w:r>
      <w:r w:rsidR="00C40E6F">
        <w:rPr>
          <w:rFonts w:ascii="Arial" w:hAnsi="Arial" w:cs="Arial"/>
        </w:rPr>
        <w:t>, and l</w:t>
      </w:r>
      <w:r w:rsidRPr="00491B32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</w:t>
      </w:r>
      <w:r w:rsidRPr="00C40E6F">
        <w:rPr>
          <w:rFonts w:ascii="Arial" w:hAnsi="Arial" w:cs="Arial"/>
          <w:i/>
        </w:rPr>
        <w:t>ξ</w:t>
      </w:r>
      <w:r w:rsidRPr="00C40E6F">
        <w:rPr>
          <w:rFonts w:ascii="Arial" w:hAnsi="Arial" w:cs="Arial"/>
          <w:i/>
          <w:vertAlign w:val="subscript"/>
        </w:rPr>
        <w:t>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mean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log</w:t>
      </w:r>
      <w:r w:rsidR="00443E40">
        <w:rPr>
          <w:rFonts w:ascii="Arial" w:hAnsi="Arial" w:cs="Arial"/>
        </w:rPr>
        <w:t>-</w:t>
      </w:r>
      <w:r w:rsidRPr="00491B32">
        <w:rPr>
          <w:rFonts w:ascii="Arial" w:hAnsi="Arial" w:cs="Arial"/>
        </w:rPr>
        <w:t>odds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response,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ie:</w:t>
      </w:r>
    </w:p>
    <w:p w14:paraId="7FBBD58E" w14:textId="3719F351" w:rsidR="00402598" w:rsidRDefault="00402598" w:rsidP="00350DBC">
      <w:pPr>
        <w:spacing w:line="240" w:lineRule="auto"/>
        <w:jc w:val="center"/>
        <w:rPr>
          <w:rFonts w:ascii="Arial" w:hAnsi="Arial" w:cs="Arial"/>
        </w:rPr>
      </w:pPr>
      <w:r w:rsidRPr="00402598">
        <w:rPr>
          <w:rFonts w:ascii="Arial" w:hAnsi="Arial" w:cs="Arial"/>
          <w:noProof/>
          <w:lang w:val="en-US"/>
        </w:rPr>
        <w:drawing>
          <wp:inline distT="0" distB="0" distL="0" distR="0" wp14:anchorId="73DB5D2F" wp14:editId="267CF687">
            <wp:extent cx="1543909" cy="537882"/>
            <wp:effectExtent l="0" t="0" r="0" b="0"/>
            <wp:docPr id="11" name="Picture 11" descr="C:\Users\harveye\Documents\Documents\Biogen\Neublastin\SPRINT\Journal comments\Second reviewer comments\Final draft\BG487-15 Biogen NPP SPRINT primary ms figures\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arveye\Documents\Documents\Biogen\Neublastin\SPRINT\Journal comments\Second reviewer comments\Final draft\BG487-15 Biogen NPP SPRINT primary ms figures\E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2" t="22353" r="6135" b="18802"/>
                    <a:stretch/>
                  </pic:blipFill>
                  <pic:spPr bwMode="auto">
                    <a:xfrm>
                      <a:off x="0" y="0"/>
                      <a:ext cx="1544466" cy="53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69F8A6" w14:textId="73F73FC4" w:rsidR="00491B32" w:rsidRDefault="00491B32" w:rsidP="00350DBC">
      <w:pPr>
        <w:spacing w:line="240" w:lineRule="auto"/>
        <w:rPr>
          <w:rFonts w:ascii="Arial" w:hAnsi="Arial" w:cs="Arial"/>
        </w:rPr>
      </w:pPr>
      <w:r w:rsidRPr="00491B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construct</w:t>
      </w:r>
      <w:r w:rsidR="00C40E6F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dose-</w:t>
      </w:r>
      <w:r w:rsidRPr="00491B32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mean</w:t>
      </w:r>
      <w:r>
        <w:rPr>
          <w:rFonts w:ascii="Arial" w:hAnsi="Arial" w:cs="Arial"/>
        </w:rPr>
        <w:t xml:space="preserve"> </w:t>
      </w:r>
      <w:r w:rsidR="008E3EA9">
        <w:rPr>
          <w:rFonts w:ascii="Arial" w:hAnsi="Arial" w:cs="Arial"/>
        </w:rPr>
        <w:t>log</w:t>
      </w:r>
      <w:r w:rsidR="00443E40">
        <w:rPr>
          <w:rFonts w:ascii="Arial" w:hAnsi="Arial" w:cs="Arial"/>
        </w:rPr>
        <w:t>-</w:t>
      </w:r>
      <w:r w:rsidRPr="00491B32">
        <w:rPr>
          <w:rFonts w:ascii="Arial" w:hAnsi="Arial" w:cs="Arial"/>
        </w:rPr>
        <w:t>odds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pruritus</w:t>
      </w:r>
      <w:r>
        <w:rPr>
          <w:rFonts w:ascii="Arial" w:hAnsi="Arial" w:cs="Arial"/>
        </w:rPr>
        <w:t xml:space="preserve"> </w:t>
      </w:r>
      <w:r w:rsidR="00012150">
        <w:rPr>
          <w:rFonts w:ascii="Arial" w:hAnsi="Arial" w:cs="Arial"/>
        </w:rPr>
        <w:t xml:space="preserve">impact </w:t>
      </w:r>
      <w:r w:rsidRPr="00491B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treatment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arm.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464230">
        <w:rPr>
          <w:rFonts w:ascii="Arial" w:hAnsi="Arial" w:cs="Arial"/>
        </w:rPr>
        <w:t>placebo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arm</w:t>
      </w:r>
      <w:r>
        <w:rPr>
          <w:rFonts w:ascii="Arial" w:hAnsi="Arial" w:cs="Arial"/>
        </w:rPr>
        <w:t xml:space="preserve"> </w:t>
      </w:r>
      <w:r w:rsidR="008E3EA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modeled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separately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as</w:t>
      </w:r>
      <w:r>
        <w:rPr>
          <w:rFonts w:ascii="Arial" w:hAnsi="Arial" w:cs="Arial"/>
        </w:rPr>
        <w:t>:</w:t>
      </w:r>
    </w:p>
    <w:p w14:paraId="40C4FC5E" w14:textId="5A62F8B9" w:rsidR="00402598" w:rsidRDefault="00402598" w:rsidP="00350DBC">
      <w:pPr>
        <w:spacing w:line="240" w:lineRule="auto"/>
        <w:jc w:val="center"/>
        <w:rPr>
          <w:rFonts w:ascii="Arial" w:hAnsi="Arial" w:cs="Arial"/>
        </w:rPr>
      </w:pPr>
      <w:r w:rsidRPr="00402598">
        <w:rPr>
          <w:rFonts w:ascii="Arial" w:hAnsi="Arial" w:cs="Arial"/>
          <w:noProof/>
          <w:lang w:val="en-US"/>
        </w:rPr>
        <w:drawing>
          <wp:inline distT="0" distB="0" distL="0" distR="0" wp14:anchorId="4821AC4E" wp14:editId="447D1F04">
            <wp:extent cx="1430767" cy="333487"/>
            <wp:effectExtent l="0" t="0" r="0" b="9525"/>
            <wp:docPr id="12" name="Picture 12" descr="C:\Users\harveye\Documents\Documents\Biogen\Neublastin\SPRINT\Journal comments\Second reviewer comments\Final draft\BG487-15 Biogen NPP SPRINT primary ms figures\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arveye\Documents\Documents\Biogen\Neublastin\SPRINT\Journal comments\Second reviewer comments\Final draft\BG487-15 Biogen NPP SPRINT primary ms figures\E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6" t="31765" r="10542" b="31743"/>
                    <a:stretch/>
                  </pic:blipFill>
                  <pic:spPr bwMode="auto">
                    <a:xfrm>
                      <a:off x="0" y="0"/>
                      <a:ext cx="1431623" cy="33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0B2581" w14:textId="77777777" w:rsidR="00491B32" w:rsidRDefault="00491B32" w:rsidP="00350DBC">
      <w:pPr>
        <w:spacing w:line="240" w:lineRule="auto"/>
        <w:rPr>
          <w:rFonts w:ascii="Arial" w:hAnsi="Arial" w:cs="Arial"/>
        </w:rPr>
      </w:pP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dose-</w:t>
      </w:r>
      <w:r w:rsidRPr="00491B32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doses</w:t>
      </w:r>
      <w:r>
        <w:rPr>
          <w:rFonts w:ascii="Arial" w:hAnsi="Arial" w:cs="Arial"/>
        </w:rPr>
        <w:t xml:space="preserve"> </w:t>
      </w:r>
      <w:r w:rsidR="008E3EA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</w:t>
      </w:r>
      <w:r w:rsidR="008E3EA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NDLM:</w:t>
      </w:r>
    </w:p>
    <w:p w14:paraId="691F5059" w14:textId="14DCAC73" w:rsidR="00402598" w:rsidRDefault="00402598" w:rsidP="00350DBC">
      <w:pPr>
        <w:spacing w:line="240" w:lineRule="auto"/>
        <w:jc w:val="center"/>
        <w:rPr>
          <w:rFonts w:ascii="Arial" w:hAnsi="Arial" w:cs="Arial"/>
        </w:rPr>
      </w:pPr>
      <w:r w:rsidRPr="00402598">
        <w:rPr>
          <w:rFonts w:ascii="Arial" w:hAnsi="Arial" w:cs="Arial"/>
          <w:noProof/>
          <w:lang w:val="en-US"/>
        </w:rPr>
        <w:drawing>
          <wp:inline distT="0" distB="0" distL="0" distR="0" wp14:anchorId="476DD7D7" wp14:editId="5AA5B7DF">
            <wp:extent cx="1430767" cy="290457"/>
            <wp:effectExtent l="0" t="0" r="0" b="0"/>
            <wp:docPr id="13" name="Picture 13" descr="C:\Users\harveye\Documents\Documents\Biogen\Neublastin\SPRINT\Journal comments\Second reviewer comments\Final draft\BG487-15 Biogen NPP SPRINT primary ms figures\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arveye\Documents\Documents\Biogen\Neublastin\SPRINT\Journal comments\Second reviewer comments\Final draft\BG487-15 Biogen NPP SPRINT primary ms figures\E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6" t="27059" r="10562" b="41166"/>
                    <a:stretch/>
                  </pic:blipFill>
                  <pic:spPr bwMode="auto">
                    <a:xfrm>
                      <a:off x="0" y="0"/>
                      <a:ext cx="1431248" cy="29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217BE" w14:textId="796F64C3" w:rsidR="00402598" w:rsidRDefault="00402598" w:rsidP="00350DBC">
      <w:pPr>
        <w:spacing w:line="240" w:lineRule="auto"/>
        <w:jc w:val="center"/>
        <w:rPr>
          <w:rFonts w:ascii="Arial" w:hAnsi="Arial" w:cs="Arial"/>
        </w:rPr>
      </w:pPr>
      <w:r w:rsidRPr="00402598">
        <w:rPr>
          <w:rFonts w:ascii="Arial" w:hAnsi="Arial" w:cs="Arial"/>
          <w:noProof/>
          <w:lang w:val="en-US"/>
        </w:rPr>
        <w:drawing>
          <wp:inline distT="0" distB="0" distL="0" distR="0" wp14:anchorId="2BD6DB70" wp14:editId="04F78807">
            <wp:extent cx="2667897" cy="355003"/>
            <wp:effectExtent l="0" t="0" r="0" b="6985"/>
            <wp:docPr id="14" name="Picture 14" descr="C:\Users\harveye\Documents\Documents\Biogen\Neublastin\SPRINT\Journal comments\Second reviewer comments\Final draft\BG487-15 Biogen NPP SPRINT primary ms figures\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arveye\Documents\Documents\Biogen\Neublastin\SPRINT\Journal comments\Second reviewer comments\Final draft\BG487-15 Biogen NPP SPRINT primary ms figures\E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9" t="35294" r="6633" b="25850"/>
                    <a:stretch/>
                  </pic:blipFill>
                  <pic:spPr bwMode="auto">
                    <a:xfrm>
                      <a:off x="0" y="0"/>
                      <a:ext cx="2670086" cy="35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167E9F" w14:textId="433B3CBA" w:rsidR="00491B32" w:rsidRDefault="00491B32" w:rsidP="00350DBC">
      <w:pPr>
        <w:spacing w:line="240" w:lineRule="auto"/>
        <w:rPr>
          <w:rFonts w:ascii="Arial" w:hAnsi="Arial" w:cs="Arial"/>
        </w:rPr>
      </w:pPr>
      <w:r w:rsidRPr="00491B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converted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8E3EA9">
        <w:rPr>
          <w:rFonts w:ascii="Arial" w:hAnsi="Arial" w:cs="Arial"/>
        </w:rPr>
        <w:t>log-</w:t>
      </w:r>
      <w:r w:rsidRPr="00491B32">
        <w:rPr>
          <w:rFonts w:ascii="Arial" w:hAnsi="Arial" w:cs="Arial"/>
        </w:rPr>
        <w:t>odds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scale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back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original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probability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scale,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resulting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distribution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ha</w:t>
      </w:r>
      <w:r w:rsidR="008E3EA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95%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probability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pruritus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rate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012150">
        <w:rPr>
          <w:rFonts w:ascii="Arial" w:hAnsi="Arial" w:cs="Arial"/>
        </w:rPr>
        <w:t xml:space="preserve">placebo </w:t>
      </w:r>
      <w:r w:rsidRPr="00491B32">
        <w:rPr>
          <w:rFonts w:ascii="Arial" w:hAnsi="Arial" w:cs="Arial"/>
        </w:rPr>
        <w:t>arm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initial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dose</w:t>
      </w:r>
      <w:r>
        <w:rPr>
          <w:rFonts w:ascii="Arial" w:hAnsi="Arial" w:cs="Arial"/>
        </w:rPr>
        <w:t xml:space="preserve"> </w:t>
      </w:r>
      <w:r w:rsidR="008E3EA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between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0.004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0.92.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drift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parameter</w:t>
      </w:r>
      <w:r>
        <w:rPr>
          <w:rFonts w:ascii="Arial" w:hAnsi="Arial" w:cs="Arial"/>
        </w:rPr>
        <w:t xml:space="preserve"> </w:t>
      </w:r>
      <w:r w:rsidRPr="008E3EA9">
        <w:rPr>
          <w:rFonts w:ascii="Arial" w:hAnsi="Arial" w:cs="Arial"/>
          <w:i/>
        </w:rPr>
        <w:t>ψ</w:t>
      </w:r>
      <w:r w:rsidRPr="008E3EA9">
        <w:rPr>
          <w:rFonts w:ascii="Arial" w:hAnsi="Arial" w:cs="Arial"/>
          <w:i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ha</w:t>
      </w:r>
      <w:r w:rsidR="008E3EA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distribution</w:t>
      </w:r>
      <w:r>
        <w:rPr>
          <w:rFonts w:ascii="Arial" w:hAnsi="Arial" w:cs="Arial"/>
        </w:rPr>
        <w:t>:</w:t>
      </w:r>
    </w:p>
    <w:p w14:paraId="0B66CC62" w14:textId="4F4EEC87" w:rsidR="00402598" w:rsidRDefault="00402598" w:rsidP="00350DBC">
      <w:pPr>
        <w:spacing w:line="240" w:lineRule="auto"/>
        <w:jc w:val="center"/>
        <w:rPr>
          <w:rFonts w:ascii="Arial" w:hAnsi="Arial" w:cs="Arial"/>
        </w:rPr>
      </w:pPr>
      <w:r w:rsidRPr="00402598">
        <w:rPr>
          <w:rFonts w:ascii="Arial" w:hAnsi="Arial" w:cs="Arial"/>
          <w:noProof/>
          <w:lang w:val="en-US"/>
        </w:rPr>
        <w:drawing>
          <wp:inline distT="0" distB="0" distL="0" distR="0" wp14:anchorId="53CF997D" wp14:editId="48EE26AD">
            <wp:extent cx="1742739" cy="333487"/>
            <wp:effectExtent l="0" t="0" r="0" b="9525"/>
            <wp:docPr id="15" name="Picture 15" descr="C:\Users\harveye\Documents\Documents\Biogen\Neublastin\SPRINT\Journal comments\Second reviewer comments\Final draft\BG487-15 Biogen NPP SPRINT primary ms figures\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arveye\Documents\Documents\Biogen\Neublastin\SPRINT\Journal comments\Second reviewer comments\Final draft\BG487-15 Biogen NPP SPRINT primary ms figures\E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" t="31765" r="3472" b="31743"/>
                    <a:stretch/>
                  </pic:blipFill>
                  <pic:spPr bwMode="auto">
                    <a:xfrm>
                      <a:off x="0" y="0"/>
                      <a:ext cx="1743781" cy="33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AEFC58" w14:textId="77777777" w:rsidR="00491B32" w:rsidRDefault="00491B32" w:rsidP="00350DBC">
      <w:pPr>
        <w:spacing w:line="240" w:lineRule="auto"/>
        <w:rPr>
          <w:rFonts w:ascii="Arial" w:hAnsi="Arial" w:cs="Arial"/>
        </w:rPr>
      </w:pP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parameters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distribution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translate</w:t>
      </w:r>
      <w:r w:rsidR="008E3EA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having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observation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worth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weight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8E3EA9">
        <w:rPr>
          <w:rFonts w:ascii="Arial" w:hAnsi="Arial" w:cs="Arial"/>
          <w:i/>
        </w:rPr>
        <w:t>ψ</w:t>
      </w:r>
      <w:r w:rsidRPr="00491B32">
        <w:rPr>
          <w:rFonts w:ascii="Arial" w:hAnsi="Arial" w:cs="Arial"/>
        </w:rPr>
        <w:t>.</w:t>
      </w:r>
    </w:p>
    <w:p w14:paraId="344BBF6B" w14:textId="77777777" w:rsidR="00B405E2" w:rsidRPr="00B405E2" w:rsidRDefault="00B405E2" w:rsidP="00350DBC">
      <w:pPr>
        <w:spacing w:line="240" w:lineRule="auto"/>
        <w:rPr>
          <w:rFonts w:ascii="Arial" w:hAnsi="Arial" w:cs="Arial"/>
        </w:rPr>
      </w:pPr>
      <w:r w:rsidRPr="00B405E2">
        <w:rPr>
          <w:rFonts w:ascii="Arial" w:hAnsi="Arial" w:cs="Arial"/>
        </w:rPr>
        <w:t xml:space="preserve">Posterior quantities were calculated using MCMC samples from a single chain of length 2500 after a burn-in period of 1000. </w:t>
      </w:r>
    </w:p>
    <w:p w14:paraId="30136122" w14:textId="77777777" w:rsidR="00491B32" w:rsidRDefault="00491B32" w:rsidP="00350DBC">
      <w:pPr>
        <w:spacing w:line="240" w:lineRule="auto"/>
        <w:rPr>
          <w:rFonts w:ascii="Arial" w:hAnsi="Arial" w:cs="Arial"/>
        </w:rPr>
      </w:pPr>
    </w:p>
    <w:p w14:paraId="728232C9" w14:textId="485355F6" w:rsidR="00491B32" w:rsidRPr="00491B32" w:rsidRDefault="00491B32" w:rsidP="00350DBC">
      <w:pPr>
        <w:spacing w:line="240" w:lineRule="auto"/>
        <w:rPr>
          <w:rFonts w:ascii="Arial" w:hAnsi="Arial" w:cs="Arial"/>
          <w:i/>
        </w:rPr>
      </w:pPr>
      <w:r w:rsidRPr="00491B32">
        <w:rPr>
          <w:rFonts w:ascii="Arial" w:hAnsi="Arial" w:cs="Arial"/>
          <w:i/>
        </w:rPr>
        <w:t xml:space="preserve">1.3. Secondary </w:t>
      </w:r>
      <w:r w:rsidR="00FA0E6B">
        <w:rPr>
          <w:rFonts w:ascii="Arial" w:hAnsi="Arial" w:cs="Arial"/>
          <w:i/>
        </w:rPr>
        <w:t>e</w:t>
      </w:r>
      <w:r w:rsidRPr="00491B32">
        <w:rPr>
          <w:rFonts w:ascii="Arial" w:hAnsi="Arial" w:cs="Arial"/>
          <w:i/>
        </w:rPr>
        <w:t xml:space="preserve">ndpoint </w:t>
      </w:r>
      <w:r w:rsidR="00FA0E6B">
        <w:rPr>
          <w:rFonts w:ascii="Arial" w:hAnsi="Arial" w:cs="Arial"/>
          <w:i/>
        </w:rPr>
        <w:t>l</w:t>
      </w:r>
      <w:r w:rsidRPr="00491B32">
        <w:rPr>
          <w:rFonts w:ascii="Arial" w:hAnsi="Arial" w:cs="Arial"/>
          <w:i/>
        </w:rPr>
        <w:t xml:space="preserve">ongitudinal </w:t>
      </w:r>
      <w:r w:rsidR="00FA0E6B">
        <w:rPr>
          <w:rFonts w:ascii="Arial" w:hAnsi="Arial" w:cs="Arial"/>
          <w:i/>
        </w:rPr>
        <w:t>m</w:t>
      </w:r>
      <w:r w:rsidRPr="00491B32">
        <w:rPr>
          <w:rFonts w:ascii="Arial" w:hAnsi="Arial" w:cs="Arial"/>
          <w:i/>
        </w:rPr>
        <w:t>odel</w:t>
      </w:r>
    </w:p>
    <w:p w14:paraId="07E33645" w14:textId="5B2CA139" w:rsidR="00491B32" w:rsidRDefault="00491B32" w:rsidP="00350DBC">
      <w:pPr>
        <w:spacing w:line="240" w:lineRule="auto"/>
        <w:rPr>
          <w:rFonts w:ascii="Arial" w:hAnsi="Arial" w:cs="Arial"/>
        </w:rPr>
      </w:pPr>
      <w:r w:rsidRPr="00491B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interim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analysis,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some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patients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completed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8E3EA9">
        <w:rPr>
          <w:rFonts w:ascii="Arial" w:hAnsi="Arial" w:cs="Arial"/>
        </w:rPr>
        <w:t>4-</w:t>
      </w:r>
      <w:r w:rsidRPr="00491B32">
        <w:rPr>
          <w:rFonts w:ascii="Arial" w:hAnsi="Arial" w:cs="Arial"/>
        </w:rPr>
        <w:t>week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evaluation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period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pruritus</w:t>
      </w:r>
      <w:r w:rsidR="00A23535">
        <w:rPr>
          <w:rFonts w:ascii="Arial" w:hAnsi="Arial" w:cs="Arial"/>
        </w:rPr>
        <w:t xml:space="preserve"> impact</w:t>
      </w:r>
      <w:r w:rsidRPr="00491B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longitudinal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</w:t>
      </w:r>
      <w:r w:rsidR="008E3EA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employed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enable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lastRenderedPageBreak/>
        <w:t>observations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imputed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those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>patients who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only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ha</w:t>
      </w:r>
      <w:r w:rsidR="008E3EA9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intermediate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responses.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Pr="008E3EA9">
        <w:rPr>
          <w:rFonts w:ascii="Arial" w:hAnsi="Arial" w:cs="Arial"/>
          <w:i/>
        </w:rPr>
        <w:t>X</w:t>
      </w:r>
      <w:r w:rsidRPr="008E3EA9">
        <w:rPr>
          <w:rFonts w:ascii="Arial" w:hAnsi="Arial" w:cs="Arial"/>
          <w:i/>
          <w:vertAlign w:val="subscript"/>
        </w:rPr>
        <w:t>it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visit,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="008E3EA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imputed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However,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suppose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visit</w:t>
      </w:r>
      <w:r>
        <w:rPr>
          <w:rFonts w:ascii="Arial" w:hAnsi="Arial" w:cs="Arial"/>
        </w:rPr>
        <w:t xml:space="preserve"> </w:t>
      </w:r>
      <w:r w:rsidRPr="008E3EA9">
        <w:rPr>
          <w:rFonts w:ascii="Arial" w:hAnsi="Arial" w:cs="Arial"/>
          <w:i/>
        </w:rPr>
        <w:t>t*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last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visit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pruritus</w:t>
      </w:r>
      <w:r>
        <w:rPr>
          <w:rFonts w:ascii="Arial" w:hAnsi="Arial" w:cs="Arial"/>
        </w:rPr>
        <w:t xml:space="preserve"> </w:t>
      </w:r>
      <w:r w:rsidR="009A6517">
        <w:rPr>
          <w:rFonts w:ascii="Arial" w:hAnsi="Arial" w:cs="Arial"/>
        </w:rPr>
        <w:t xml:space="preserve">impact </w:t>
      </w:r>
      <w:r w:rsidRPr="00491B32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available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patient </w:t>
      </w:r>
      <w:r w:rsidRPr="008E3EA9">
        <w:rPr>
          <w:rFonts w:ascii="Arial" w:hAnsi="Arial" w:cs="Arial"/>
          <w:i/>
        </w:rPr>
        <w:t>i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8E3EA9">
        <w:rPr>
          <w:rFonts w:ascii="Arial" w:hAnsi="Arial" w:cs="Arial"/>
          <w:i/>
        </w:rPr>
        <w:t>X</w:t>
      </w:r>
      <w:r w:rsidRPr="008E3EA9">
        <w:rPr>
          <w:rFonts w:ascii="Arial" w:hAnsi="Arial" w:cs="Arial"/>
          <w:i/>
          <w:vertAlign w:val="subscript"/>
        </w:rPr>
        <w:t>it*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0.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is,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patient </w:t>
      </w:r>
      <w:r w:rsidRPr="00491B32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experienced</w:t>
      </w:r>
      <w:r>
        <w:rPr>
          <w:rFonts w:ascii="Arial" w:hAnsi="Arial" w:cs="Arial"/>
        </w:rPr>
        <w:t xml:space="preserve"> </w:t>
      </w:r>
      <w:r w:rsidR="00B40A1D">
        <w:rPr>
          <w:rFonts w:ascii="Arial" w:hAnsi="Arial" w:cs="Arial"/>
        </w:rPr>
        <w:t xml:space="preserve">itch that is severe enough to cause major problems </w:t>
      </w:r>
      <w:r w:rsidRPr="00491B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t*.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Then</w:t>
      </w:r>
      <w:r w:rsidR="00443E4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visit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8E3EA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modeled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using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beta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binomial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</w:t>
      </w:r>
      <w:r w:rsidRPr="00491B32">
        <w:rPr>
          <w:rFonts w:ascii="Arial" w:hAnsi="Arial" w:cs="Arial"/>
        </w:rPr>
        <w:t>where:</w:t>
      </w:r>
    </w:p>
    <w:p w14:paraId="50C21CDB" w14:textId="5C20672D" w:rsidR="00402598" w:rsidRDefault="00402598" w:rsidP="00350DBC">
      <w:pPr>
        <w:spacing w:line="240" w:lineRule="auto"/>
        <w:jc w:val="center"/>
        <w:rPr>
          <w:rFonts w:ascii="Arial" w:hAnsi="Arial" w:cs="Arial"/>
        </w:rPr>
      </w:pPr>
      <w:r w:rsidRPr="00402598">
        <w:rPr>
          <w:rFonts w:ascii="Arial" w:hAnsi="Arial" w:cs="Arial"/>
          <w:noProof/>
          <w:lang w:val="en-US"/>
        </w:rPr>
        <w:drawing>
          <wp:inline distT="0" distB="0" distL="0" distR="0" wp14:anchorId="585FA527" wp14:editId="13A11286">
            <wp:extent cx="3065930" cy="322729"/>
            <wp:effectExtent l="0" t="0" r="1270" b="1270"/>
            <wp:docPr id="16" name="Picture 16" descr="C:\Users\harveye\Documents\Documents\Biogen\Neublastin\SPRINT\Journal comments\Second reviewer comments\Final draft\BG487-15 Biogen NPP SPRINT primary ms figures\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harveye\Documents\Documents\Biogen\Neublastin\SPRINT\Journal comments\Second reviewer comments\Final draft\BG487-15 Biogen NPP SPRINT primary ms figures\E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9" t="34118" r="1932" b="30562"/>
                    <a:stretch/>
                  </pic:blipFill>
                  <pic:spPr bwMode="auto">
                    <a:xfrm>
                      <a:off x="0" y="0"/>
                      <a:ext cx="3068217" cy="32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4E3909" w14:textId="77777777" w:rsidR="006E41EF" w:rsidRDefault="006E41EF" w:rsidP="00350DBC">
      <w:pPr>
        <w:spacing w:line="240" w:lineRule="auto"/>
        <w:rPr>
          <w:rFonts w:ascii="Arial" w:hAnsi="Arial" w:cs="Arial"/>
        </w:rPr>
      </w:pPr>
      <w:r w:rsidRPr="006E41EF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8E3EA9">
        <w:rPr>
          <w:rFonts w:ascii="Arial" w:hAnsi="Arial" w:cs="Arial"/>
          <w:i/>
        </w:rPr>
        <w:t>α</w:t>
      </w:r>
      <w:r w:rsidRPr="008E3EA9">
        <w:rPr>
          <w:rFonts w:ascii="Arial" w:hAnsi="Arial" w:cs="Arial"/>
          <w:i/>
          <w:vertAlign w:val="subscript"/>
        </w:rPr>
        <w:t>t</w:t>
      </w:r>
      <w:r w:rsidRPr="008E3EA9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a</w:t>
      </w:r>
      <w:r w:rsidRPr="006E41EF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 </w:t>
      </w:r>
      <w:r w:rsidRPr="008E3EA9">
        <w:rPr>
          <w:rFonts w:ascii="Arial" w:hAnsi="Arial" w:cs="Arial"/>
          <w:i/>
        </w:rPr>
        <w:t>β</w:t>
      </w:r>
      <w:r w:rsidRPr="008E3EA9">
        <w:rPr>
          <w:rFonts w:ascii="Arial" w:hAnsi="Arial" w:cs="Arial"/>
          <w:i/>
          <w:vertAlign w:val="subscript"/>
        </w:rPr>
        <w:t>t</w:t>
      </w:r>
      <w:r w:rsidRPr="008E3EA9">
        <w:rPr>
          <w:rFonts w:ascii="Arial" w:hAnsi="Arial" w:cs="Arial"/>
          <w:i/>
        </w:rPr>
        <w:t xml:space="preserve"> </w:t>
      </w:r>
      <w:r w:rsidRPr="006E41EF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defined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as:</w:t>
      </w:r>
    </w:p>
    <w:p w14:paraId="5EE95FCF" w14:textId="79B23985" w:rsidR="00402598" w:rsidRDefault="00402598" w:rsidP="00350DBC">
      <w:pPr>
        <w:spacing w:line="240" w:lineRule="auto"/>
        <w:jc w:val="center"/>
        <w:rPr>
          <w:rFonts w:ascii="Arial" w:hAnsi="Arial" w:cs="Arial"/>
        </w:rPr>
      </w:pPr>
      <w:r w:rsidRPr="00402598">
        <w:rPr>
          <w:rFonts w:ascii="Arial" w:hAnsi="Arial" w:cs="Arial"/>
          <w:noProof/>
          <w:lang w:val="en-US"/>
        </w:rPr>
        <w:drawing>
          <wp:inline distT="0" distB="0" distL="0" distR="0" wp14:anchorId="0DD8780C" wp14:editId="569F859A">
            <wp:extent cx="2140772" cy="548640"/>
            <wp:effectExtent l="0" t="0" r="0" b="3810"/>
            <wp:docPr id="17" name="Picture 17" descr="C:\Users\harveye\Documents\Documents\Biogen\Neublastin\SPRINT\Journal comments\Second reviewer comments\Final draft\BG487-15 Biogen NPP SPRINT primary ms figures\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arveye\Documents\Documents\Biogen\Neublastin\SPRINT\Journal comments\Second reviewer comments\Final draft\BG487-15 Biogen NPP SPRINT primary ms figures\E1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65" t="20000" r="13744" b="19994"/>
                    <a:stretch/>
                  </pic:blipFill>
                  <pic:spPr bwMode="auto">
                    <a:xfrm>
                      <a:off x="0" y="0"/>
                      <a:ext cx="2140989" cy="54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55A5B1" w14:textId="2492BD32" w:rsidR="000C1227" w:rsidRDefault="000C1227" w:rsidP="00350DBC">
      <w:pPr>
        <w:spacing w:line="240" w:lineRule="auto"/>
        <w:jc w:val="center"/>
        <w:rPr>
          <w:rFonts w:ascii="Arial" w:hAnsi="Arial" w:cs="Arial"/>
        </w:rPr>
      </w:pPr>
      <w:r w:rsidRPr="000C1227">
        <w:rPr>
          <w:rFonts w:ascii="Arial" w:hAnsi="Arial" w:cs="Arial"/>
          <w:noProof/>
          <w:lang w:val="en-US"/>
        </w:rPr>
        <w:drawing>
          <wp:inline distT="0" distB="0" distL="0" distR="0" wp14:anchorId="294A04E5" wp14:editId="2AFC6FC7">
            <wp:extent cx="2151529" cy="570156"/>
            <wp:effectExtent l="0" t="0" r="1270" b="1905"/>
            <wp:docPr id="18" name="Picture 18" descr="C:\Users\harveye\Documents\Documents\Biogen\Neublastin\SPRINT\Journal comments\Second reviewer comments\Final draft\BG487-15 Biogen NPP SPRINT primary ms figures\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arveye\Documents\Documents\Biogen\Neublastin\SPRINT\Journal comments\Second reviewer comments\Final draft\BG487-15 Biogen NPP SPRINT primary ms figures\E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8" t="21177" r="14418" b="16466"/>
                    <a:stretch/>
                  </pic:blipFill>
                  <pic:spPr bwMode="auto">
                    <a:xfrm>
                      <a:off x="0" y="0"/>
                      <a:ext cx="2151652" cy="57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CCD49" w14:textId="05B06FE0" w:rsidR="006E41EF" w:rsidRDefault="006E41EF" w:rsidP="00350DBC">
      <w:pPr>
        <w:spacing w:line="240" w:lineRule="auto"/>
        <w:rPr>
          <w:rFonts w:ascii="Arial" w:hAnsi="Arial" w:cs="Arial"/>
        </w:rPr>
      </w:pPr>
      <w:r w:rsidRPr="006E41E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notation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above</w:t>
      </w:r>
      <w:r w:rsidR="00443E40">
        <w:rPr>
          <w:rFonts w:ascii="Arial" w:hAnsi="Arial" w:cs="Arial"/>
        </w:rPr>
        <w:t>:</w:t>
      </w:r>
    </w:p>
    <w:p w14:paraId="59BAB478" w14:textId="2EE9D73C" w:rsidR="000C1227" w:rsidRDefault="000C1227" w:rsidP="00350DBC">
      <w:pPr>
        <w:spacing w:line="240" w:lineRule="auto"/>
        <w:jc w:val="center"/>
        <w:rPr>
          <w:rFonts w:ascii="Arial" w:hAnsi="Arial" w:cs="Arial"/>
        </w:rPr>
      </w:pPr>
      <w:r w:rsidRPr="000C1227">
        <w:rPr>
          <w:rFonts w:ascii="Arial" w:hAnsi="Arial" w:cs="Arial"/>
          <w:noProof/>
          <w:lang w:val="en-US"/>
        </w:rPr>
        <w:drawing>
          <wp:inline distT="0" distB="0" distL="0" distR="0" wp14:anchorId="2700C205" wp14:editId="760465B9">
            <wp:extent cx="1409252" cy="656216"/>
            <wp:effectExtent l="0" t="0" r="635" b="0"/>
            <wp:docPr id="19" name="Picture 19" descr="C:\Users\harveye\Documents\Documents\Biogen\Neublastin\SPRINT\Journal comments\Second reviewer comments\Final draft\BG487-15 Biogen NPP SPRINT primary ms figures\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arveye\Documents\Documents\Biogen\Neublastin\SPRINT\Journal comments\Second reviewer comments\Final draft\BG487-15 Biogen NPP SPRINT primary ms figures\E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1" t="14117" r="12897" b="14077"/>
                    <a:stretch/>
                  </pic:blipFill>
                  <pic:spPr bwMode="auto">
                    <a:xfrm>
                      <a:off x="0" y="0"/>
                      <a:ext cx="1410058" cy="65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6B1D8D" w14:textId="1C700550" w:rsidR="006E41EF" w:rsidRDefault="006E41EF" w:rsidP="0015151B">
      <w:pPr>
        <w:spacing w:after="0" w:line="240" w:lineRule="auto"/>
        <w:rPr>
          <w:rFonts w:ascii="Arial" w:hAnsi="Arial" w:cs="Arial"/>
        </w:rPr>
      </w:pPr>
      <w:r w:rsidRPr="006E41EF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8E3EA9">
        <w:rPr>
          <w:rFonts w:ascii="Arial" w:hAnsi="Arial" w:cs="Arial"/>
          <w:i/>
        </w:rPr>
        <w:t>X</w:t>
      </w:r>
      <w:r w:rsidRPr="008E3EA9">
        <w:rPr>
          <w:rFonts w:ascii="Arial" w:hAnsi="Arial" w:cs="Arial"/>
          <w:i/>
          <w:vertAlign w:val="subscript"/>
        </w:rPr>
        <w:t>it*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0,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endpoint</w:t>
      </w:r>
      <w:r>
        <w:rPr>
          <w:rFonts w:ascii="Arial" w:hAnsi="Arial" w:cs="Arial"/>
        </w:rPr>
        <w:t xml:space="preserve"> </w:t>
      </w:r>
      <w:r w:rsidR="008E3EA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imputed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inspecting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patients </w:t>
      </w:r>
      <w:r w:rsidRPr="006E41EF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known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(</w:t>
      </w:r>
      <w:r w:rsidRPr="008E3EA9">
        <w:rPr>
          <w:rFonts w:ascii="Arial" w:hAnsi="Arial" w:cs="Arial"/>
          <w:i/>
        </w:rPr>
        <w:t>X</w:t>
      </w:r>
      <w:r w:rsidRPr="008E3EA9">
        <w:rPr>
          <w:rFonts w:ascii="Arial" w:hAnsi="Arial" w:cs="Arial"/>
          <w:i/>
          <w:vertAlign w:val="subscript"/>
        </w:rPr>
        <w:t>i4</w:t>
      </w:r>
      <w:r w:rsidRPr="006E41E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who </w:t>
      </w:r>
      <w:r w:rsidRPr="006E41EF">
        <w:rPr>
          <w:rFonts w:ascii="Arial" w:hAnsi="Arial" w:cs="Arial"/>
        </w:rPr>
        <w:t>also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intermediate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visit</w:t>
      </w:r>
      <w:r>
        <w:rPr>
          <w:rFonts w:ascii="Arial" w:hAnsi="Arial" w:cs="Arial"/>
        </w:rPr>
        <w:t xml:space="preserve"> </w:t>
      </w:r>
      <w:r w:rsidRPr="006E4AD7">
        <w:rPr>
          <w:rFonts w:ascii="Arial" w:hAnsi="Arial" w:cs="Arial"/>
          <w:i/>
        </w:rPr>
        <w:t>t*</w:t>
      </w:r>
      <w:r w:rsidRPr="006E41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AD7">
        <w:rPr>
          <w:rFonts w:ascii="Arial" w:hAnsi="Arial" w:cs="Arial"/>
          <w:i/>
        </w:rPr>
        <w:t>α</w:t>
      </w:r>
      <w:r w:rsidRPr="006E4AD7">
        <w:rPr>
          <w:rFonts w:ascii="Arial" w:hAnsi="Arial" w:cs="Arial"/>
          <w:i/>
          <w:vertAlign w:val="subscript"/>
        </w:rPr>
        <w:t>t*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term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counts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such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patients </w:t>
      </w:r>
      <w:r w:rsidRPr="006E41EF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whom </w:t>
      </w:r>
      <w:r w:rsidRPr="006E4AD7">
        <w:rPr>
          <w:rFonts w:ascii="Arial" w:hAnsi="Arial" w:cs="Arial"/>
          <w:i/>
        </w:rPr>
        <w:t>X</w:t>
      </w:r>
      <w:r w:rsidRPr="006E4AD7">
        <w:rPr>
          <w:rFonts w:ascii="Arial" w:hAnsi="Arial" w:cs="Arial"/>
          <w:i/>
          <w:vertAlign w:val="subscript"/>
        </w:rPr>
        <w:t>i4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1,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while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AD7">
        <w:rPr>
          <w:rFonts w:ascii="Arial" w:hAnsi="Arial" w:cs="Arial"/>
          <w:i/>
        </w:rPr>
        <w:t>β</w:t>
      </w:r>
      <w:r w:rsidRPr="006E4AD7">
        <w:rPr>
          <w:rFonts w:ascii="Arial" w:hAnsi="Arial" w:cs="Arial"/>
          <w:i/>
          <w:vertAlign w:val="subscript"/>
        </w:rPr>
        <w:t>t*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term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counts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patients </w:t>
      </w:r>
      <w:r w:rsidRPr="006E41EF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whom </w:t>
      </w:r>
      <w:r w:rsidRPr="006E4AD7">
        <w:rPr>
          <w:rFonts w:ascii="Arial" w:hAnsi="Arial" w:cs="Arial"/>
          <w:i/>
        </w:rPr>
        <w:t>X</w:t>
      </w:r>
      <w:r w:rsidRPr="006E4AD7">
        <w:rPr>
          <w:rFonts w:ascii="Arial" w:hAnsi="Arial" w:cs="Arial"/>
          <w:i/>
          <w:vertAlign w:val="subscript"/>
        </w:rPr>
        <w:t>i4</w:t>
      </w:r>
      <w:r w:rsidRPr="006E4AD7"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0.</w:t>
      </w:r>
      <w:r>
        <w:rPr>
          <w:rFonts w:ascii="Arial" w:hAnsi="Arial" w:cs="Arial"/>
        </w:rPr>
        <w:t xml:space="preserve"> </w:t>
      </w:r>
    </w:p>
    <w:p w14:paraId="285960D9" w14:textId="71730BFB" w:rsidR="006E41EF" w:rsidRDefault="006E41EF" w:rsidP="0015151B">
      <w:pPr>
        <w:spacing w:after="0" w:line="240" w:lineRule="auto"/>
        <w:ind w:firstLine="720"/>
        <w:rPr>
          <w:rFonts w:ascii="Arial" w:hAnsi="Arial" w:cs="Arial"/>
        </w:rPr>
      </w:pPr>
      <w:r w:rsidRPr="006E41EF">
        <w:rPr>
          <w:rFonts w:ascii="Arial" w:hAnsi="Arial" w:cs="Arial"/>
        </w:rPr>
        <w:t>These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values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set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beta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observations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worth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weight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probability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pruritus</w:t>
      </w:r>
      <w:r>
        <w:rPr>
          <w:rFonts w:ascii="Arial" w:hAnsi="Arial" w:cs="Arial"/>
        </w:rPr>
        <w:t xml:space="preserve"> </w:t>
      </w:r>
      <w:r w:rsidR="0061410A">
        <w:rPr>
          <w:rFonts w:ascii="Arial" w:hAnsi="Arial" w:cs="Arial"/>
        </w:rPr>
        <w:t xml:space="preserve">impact </w:t>
      </w:r>
      <w:r w:rsidRPr="006E41EF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week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patient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without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pruritus</w:t>
      </w:r>
      <w:r>
        <w:rPr>
          <w:rFonts w:ascii="Arial" w:hAnsi="Arial" w:cs="Arial"/>
        </w:rPr>
        <w:t xml:space="preserve"> </w:t>
      </w:r>
      <w:r w:rsidR="00BB3E8D">
        <w:rPr>
          <w:rFonts w:ascii="Arial" w:hAnsi="Arial" w:cs="Arial"/>
        </w:rPr>
        <w:t xml:space="preserve">impact </w:t>
      </w:r>
      <w:r w:rsidRPr="006E41E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106DD6">
        <w:rPr>
          <w:rFonts w:ascii="Arial" w:hAnsi="Arial" w:cs="Arial"/>
        </w:rPr>
        <w:t xml:space="preserve">currently </w:t>
      </w:r>
      <w:r w:rsidRPr="006E41EF">
        <w:rPr>
          <w:rFonts w:ascii="Arial" w:hAnsi="Arial" w:cs="Arial"/>
        </w:rPr>
        <w:t>available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0.20.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</w:t>
      </w:r>
      <w:r w:rsidR="006E4AD7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used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solely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multiple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imputation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pruritus</w:t>
      </w:r>
      <w:r>
        <w:rPr>
          <w:rFonts w:ascii="Arial" w:hAnsi="Arial" w:cs="Arial"/>
        </w:rPr>
        <w:t xml:space="preserve"> </w:t>
      </w:r>
      <w:r w:rsidR="00DD2688">
        <w:rPr>
          <w:rFonts w:ascii="Arial" w:hAnsi="Arial" w:cs="Arial"/>
        </w:rPr>
        <w:t xml:space="preserve">impact </w:t>
      </w:r>
      <w:r w:rsidRPr="006E41EF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patients </w:t>
      </w:r>
      <w:r w:rsidRPr="006E41EF">
        <w:rPr>
          <w:rFonts w:ascii="Arial" w:hAnsi="Arial" w:cs="Arial"/>
        </w:rPr>
        <w:t>who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ha</w:t>
      </w:r>
      <w:r w:rsidR="006E4AD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completed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weeks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interim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analysis.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such,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effect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prior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diminishe</w:t>
      </w:r>
      <w:r w:rsidR="006E4AD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mature</w:t>
      </w:r>
      <w:r w:rsidR="006E4AD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patients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provide</w:t>
      </w:r>
      <w:r w:rsidR="006E4AD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final</w:t>
      </w:r>
      <w:r>
        <w:rPr>
          <w:rFonts w:ascii="Arial" w:hAnsi="Arial" w:cs="Arial"/>
        </w:rPr>
        <w:t xml:space="preserve"> 4-</w:t>
      </w:r>
      <w:r w:rsidRPr="006E41EF">
        <w:rPr>
          <w:rFonts w:ascii="Arial" w:hAnsi="Arial" w:cs="Arial"/>
        </w:rPr>
        <w:t>week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values.</w:t>
      </w:r>
    </w:p>
    <w:p w14:paraId="07E52846" w14:textId="1E4150F1" w:rsidR="006E41EF" w:rsidRDefault="006E41EF" w:rsidP="0015151B">
      <w:pPr>
        <w:spacing w:line="240" w:lineRule="auto"/>
        <w:ind w:firstLine="720"/>
        <w:rPr>
          <w:rFonts w:ascii="Arial" w:hAnsi="Arial" w:cs="Arial"/>
        </w:rPr>
      </w:pP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longitudinal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responses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464230">
        <w:rPr>
          <w:rFonts w:ascii="Arial" w:hAnsi="Arial" w:cs="Arial"/>
        </w:rPr>
        <w:t>placebo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arm</w:t>
      </w:r>
      <w:r>
        <w:rPr>
          <w:rFonts w:ascii="Arial" w:hAnsi="Arial" w:cs="Arial"/>
        </w:rPr>
        <w:t xml:space="preserve"> </w:t>
      </w:r>
      <w:r w:rsidR="006E4AD7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modeled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using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same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setup,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but</w:t>
      </w:r>
      <w:r>
        <w:rPr>
          <w:rFonts w:ascii="Arial" w:hAnsi="Arial" w:cs="Arial"/>
        </w:rPr>
        <w:t xml:space="preserve"> </w:t>
      </w:r>
      <w:r w:rsidR="006E4AD7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fit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separately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doses.</w:t>
      </w:r>
    </w:p>
    <w:p w14:paraId="7D46B053" w14:textId="77777777" w:rsidR="006E41EF" w:rsidRDefault="006E41EF" w:rsidP="00350DBC">
      <w:pPr>
        <w:spacing w:line="240" w:lineRule="auto"/>
        <w:rPr>
          <w:rFonts w:ascii="Arial" w:hAnsi="Arial" w:cs="Arial"/>
        </w:rPr>
      </w:pPr>
    </w:p>
    <w:p w14:paraId="1BE74CC3" w14:textId="77777777" w:rsidR="006E41EF" w:rsidRPr="006E41EF" w:rsidRDefault="006E41EF" w:rsidP="00350DBC">
      <w:pPr>
        <w:spacing w:line="240" w:lineRule="auto"/>
        <w:rPr>
          <w:rFonts w:ascii="Arial" w:hAnsi="Arial" w:cs="Arial"/>
          <w:i/>
        </w:rPr>
      </w:pPr>
      <w:r w:rsidRPr="006E41EF">
        <w:rPr>
          <w:rFonts w:ascii="Arial" w:hAnsi="Arial" w:cs="Arial"/>
          <w:i/>
        </w:rPr>
        <w:t xml:space="preserve">1.4. Utility </w:t>
      </w:r>
      <w:r>
        <w:rPr>
          <w:rFonts w:ascii="Arial" w:hAnsi="Arial" w:cs="Arial"/>
          <w:i/>
        </w:rPr>
        <w:t>f</w:t>
      </w:r>
      <w:r w:rsidRPr="006E41EF">
        <w:rPr>
          <w:rFonts w:ascii="Arial" w:hAnsi="Arial" w:cs="Arial"/>
          <w:i/>
        </w:rPr>
        <w:t>unctions</w:t>
      </w:r>
    </w:p>
    <w:p w14:paraId="1378A697" w14:textId="051F7BDF" w:rsidR="006E41EF" w:rsidRDefault="006E41EF" w:rsidP="00350DBC">
      <w:pPr>
        <w:spacing w:line="240" w:lineRule="auto"/>
        <w:rPr>
          <w:rFonts w:ascii="Arial" w:hAnsi="Arial" w:cs="Arial"/>
        </w:rPr>
      </w:pP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adaptive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aspects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trial</w:t>
      </w:r>
      <w:r>
        <w:rPr>
          <w:rFonts w:ascii="Arial" w:hAnsi="Arial" w:cs="Arial"/>
        </w:rPr>
        <w:t xml:space="preserve"> </w:t>
      </w:r>
      <w:r w:rsidR="000F79DA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based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utility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function.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utility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function</w:t>
      </w:r>
      <w:r>
        <w:rPr>
          <w:rFonts w:ascii="Arial" w:hAnsi="Arial" w:cs="Arial"/>
        </w:rPr>
        <w:t xml:space="preserve"> </w:t>
      </w:r>
      <w:r w:rsidR="000F79DA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bivariate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function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2 </w:t>
      </w:r>
      <w:r w:rsidRPr="006E41EF">
        <w:rPr>
          <w:rFonts w:ascii="Arial" w:hAnsi="Arial" w:cs="Arial"/>
        </w:rPr>
        <w:t>endpoints,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constructed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specifying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1-</w:t>
      </w:r>
      <w:r w:rsidRPr="006E41EF">
        <w:rPr>
          <w:rFonts w:ascii="Arial" w:hAnsi="Arial" w:cs="Arial"/>
        </w:rPr>
        <w:t>dimensional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component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endpoint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combining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2 </w:t>
      </w:r>
      <w:r w:rsidRPr="006E41EF">
        <w:rPr>
          <w:rFonts w:ascii="Arial" w:hAnsi="Arial" w:cs="Arial"/>
        </w:rPr>
        <w:t>multiplicatively.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primary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endpoint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component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utility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function,</w:t>
      </w:r>
      <w:r>
        <w:rPr>
          <w:rFonts w:ascii="Arial" w:hAnsi="Arial" w:cs="Arial"/>
        </w:rPr>
        <w:t xml:space="preserve"> </w:t>
      </w:r>
      <w:r w:rsidRPr="0015151B">
        <w:rPr>
          <w:rFonts w:ascii="Arial" w:hAnsi="Arial" w:cs="Arial"/>
          <w:i/>
        </w:rPr>
        <w:t>U</w:t>
      </w:r>
      <w:r w:rsidRPr="000F79DA">
        <w:rPr>
          <w:rFonts w:ascii="Arial" w:hAnsi="Arial" w:cs="Arial"/>
          <w:vertAlign w:val="subscript"/>
        </w:rPr>
        <w:t>1</w:t>
      </w:r>
      <w:r w:rsidRPr="006E41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F79DA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defined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relative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464230">
        <w:rPr>
          <w:rFonts w:ascii="Arial" w:hAnsi="Arial" w:cs="Arial"/>
        </w:rPr>
        <w:t>placebo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arm.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let</w:t>
      </w:r>
      <w:r>
        <w:rPr>
          <w:rFonts w:ascii="Arial" w:hAnsi="Arial" w:cs="Arial"/>
        </w:rPr>
        <w:t xml:space="preserve"> </w:t>
      </w:r>
      <w:r w:rsidRPr="000F79DA">
        <w:rPr>
          <w:rFonts w:ascii="Arial" w:hAnsi="Arial" w:cs="Arial"/>
          <w:i/>
        </w:rPr>
        <w:t>M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r w:rsidRPr="000F79DA">
        <w:rPr>
          <w:rFonts w:ascii="Arial" w:hAnsi="Arial" w:cs="Arial"/>
          <w:i/>
        </w:rPr>
        <w:t>θ</w:t>
      </w:r>
      <w:r w:rsidRPr="000F79DA">
        <w:rPr>
          <w:rFonts w:ascii="Arial" w:hAnsi="Arial" w:cs="Arial"/>
          <w:i/>
          <w:vertAlign w:val="subscript"/>
        </w:rPr>
        <w:t>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−</w:t>
      </w:r>
      <w:r>
        <w:rPr>
          <w:rFonts w:ascii="Arial" w:hAnsi="Arial" w:cs="Arial"/>
        </w:rPr>
        <w:t xml:space="preserve"> </w:t>
      </w:r>
      <w:r w:rsidRPr="000F79DA">
        <w:rPr>
          <w:rFonts w:ascii="Arial" w:hAnsi="Arial" w:cs="Arial"/>
          <w:i/>
        </w:rPr>
        <w:t>θ</w:t>
      </w:r>
      <w:r w:rsidRPr="000F79DA">
        <w:rPr>
          <w:rFonts w:ascii="Arial" w:hAnsi="Arial" w:cs="Arial"/>
          <w:i/>
          <w:vertAlign w:val="subscript"/>
        </w:rPr>
        <w:t>0</w:t>
      </w:r>
      <w:r w:rsidRPr="006E41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Then</w:t>
      </w:r>
      <w:r w:rsidR="00443E40">
        <w:rPr>
          <w:rFonts w:ascii="Arial" w:hAnsi="Arial" w:cs="Arial"/>
        </w:rPr>
        <w:t>:</w:t>
      </w:r>
    </w:p>
    <w:p w14:paraId="3A848BCA" w14:textId="2B64F20E" w:rsidR="000C1227" w:rsidRDefault="000C1227" w:rsidP="00350DBC">
      <w:pPr>
        <w:spacing w:line="240" w:lineRule="auto"/>
        <w:jc w:val="center"/>
        <w:rPr>
          <w:rFonts w:ascii="Arial" w:hAnsi="Arial" w:cs="Arial"/>
        </w:rPr>
      </w:pPr>
      <w:r w:rsidRPr="000C1227">
        <w:rPr>
          <w:rFonts w:ascii="Arial" w:hAnsi="Arial" w:cs="Arial"/>
          <w:noProof/>
          <w:lang w:val="en-US"/>
        </w:rPr>
        <w:drawing>
          <wp:inline distT="0" distB="0" distL="0" distR="0" wp14:anchorId="0E7DDB76" wp14:editId="0F063F6E">
            <wp:extent cx="3560781" cy="871369"/>
            <wp:effectExtent l="0" t="0" r="1905" b="5080"/>
            <wp:docPr id="20" name="Picture 20" descr="C:\Users\harveye\Documents\Documents\Biogen\Neublastin\SPRINT\Journal comments\Second reviewer comments\Final draft\BG487-15 Biogen NPP SPRINT primary ms figures\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arveye\Documents\Documents\Biogen\Neublastin\SPRINT\Journal comments\Second reviewer comments\Final draft\BG487-15 Biogen NPP SPRINT primary ms figures\E1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6" t="21098" r="13855" b="15585"/>
                    <a:stretch/>
                  </pic:blipFill>
                  <pic:spPr bwMode="auto">
                    <a:xfrm>
                      <a:off x="0" y="0"/>
                      <a:ext cx="3562007" cy="87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97D4C" w14:textId="77777777" w:rsidR="006E41EF" w:rsidRDefault="006E41EF" w:rsidP="00350DBC">
      <w:pPr>
        <w:spacing w:line="240" w:lineRule="auto"/>
        <w:rPr>
          <w:rFonts w:ascii="Arial" w:hAnsi="Arial" w:cs="Arial"/>
        </w:rPr>
      </w:pP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secondary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endpoint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component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utility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function,</w:t>
      </w:r>
      <w:r>
        <w:rPr>
          <w:rFonts w:ascii="Arial" w:hAnsi="Arial" w:cs="Arial"/>
        </w:rPr>
        <w:t xml:space="preserve"> </w:t>
      </w:r>
      <w:r w:rsidRPr="000F79DA">
        <w:rPr>
          <w:rFonts w:ascii="Arial" w:hAnsi="Arial" w:cs="Arial"/>
          <w:i/>
        </w:rPr>
        <w:t>U</w:t>
      </w:r>
      <w:r w:rsidRPr="0015151B">
        <w:rPr>
          <w:rFonts w:ascii="Arial" w:hAnsi="Arial" w:cs="Arial"/>
          <w:vertAlign w:val="subscript"/>
        </w:rPr>
        <w:t>2</w:t>
      </w:r>
      <w:r w:rsidRPr="006E41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F79DA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defined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as:</w:t>
      </w:r>
    </w:p>
    <w:p w14:paraId="51500F78" w14:textId="38E241F9" w:rsidR="0097237E" w:rsidRDefault="0097237E" w:rsidP="00350DBC">
      <w:pPr>
        <w:spacing w:line="240" w:lineRule="auto"/>
        <w:jc w:val="center"/>
        <w:rPr>
          <w:rFonts w:ascii="Arial" w:hAnsi="Arial" w:cs="Arial"/>
        </w:rPr>
      </w:pPr>
    </w:p>
    <w:p w14:paraId="563EE19D" w14:textId="5535FEC7" w:rsidR="000C1227" w:rsidRDefault="000C1227" w:rsidP="00350DBC">
      <w:pPr>
        <w:spacing w:line="240" w:lineRule="auto"/>
        <w:jc w:val="center"/>
        <w:rPr>
          <w:rFonts w:ascii="Arial" w:hAnsi="Arial" w:cs="Arial"/>
        </w:rPr>
      </w:pPr>
      <w:r w:rsidRPr="000C1227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0B3D7F9F" wp14:editId="2C489960">
            <wp:extent cx="3948057" cy="968188"/>
            <wp:effectExtent l="0" t="0" r="0" b="3810"/>
            <wp:docPr id="40" name="Picture 40" descr="C:\Users\harveye\Documents\Documents\Biogen\Neublastin\SPRINT\Journal comments\Second reviewer comments\Final draft\BG487-15 Biogen NPP SPRINT primary ms figures\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arveye\Documents\Documents\Biogen\Neublastin\SPRINT\Journal comments\Second reviewer comments\Final draft\BG487-15 Biogen NPP SPRINT primary ms figures\E1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7" t="14847" r="8465" b="14821"/>
                    <a:stretch/>
                  </pic:blipFill>
                  <pic:spPr bwMode="auto">
                    <a:xfrm>
                      <a:off x="0" y="0"/>
                      <a:ext cx="3948310" cy="96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0810E7" w14:textId="7453D28B" w:rsidR="006E41EF" w:rsidRDefault="006E41EF" w:rsidP="00350DBC">
      <w:pPr>
        <w:spacing w:line="240" w:lineRule="auto"/>
        <w:rPr>
          <w:rFonts w:ascii="Arial" w:hAnsi="Arial" w:cs="Arial"/>
        </w:rPr>
      </w:pP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utility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function</w:t>
      </w:r>
      <w:r>
        <w:rPr>
          <w:rFonts w:ascii="Arial" w:hAnsi="Arial" w:cs="Arial"/>
        </w:rPr>
        <w:t xml:space="preserve"> </w:t>
      </w:r>
      <w:r w:rsidR="000F79DA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product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2 </w:t>
      </w:r>
      <w:r w:rsidRPr="006E41EF">
        <w:rPr>
          <w:rFonts w:ascii="Arial" w:hAnsi="Arial" w:cs="Arial"/>
        </w:rPr>
        <w:t>component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utilities:</w:t>
      </w:r>
    </w:p>
    <w:p w14:paraId="740DBA15" w14:textId="36983F58" w:rsidR="00E225D2" w:rsidRDefault="00E225D2" w:rsidP="00350DBC">
      <w:pPr>
        <w:spacing w:line="240" w:lineRule="auto"/>
        <w:jc w:val="center"/>
        <w:rPr>
          <w:rFonts w:ascii="Arial" w:hAnsi="Arial" w:cs="Arial"/>
        </w:rPr>
      </w:pPr>
      <w:r w:rsidRPr="00E225D2">
        <w:rPr>
          <w:rFonts w:ascii="Arial" w:hAnsi="Arial" w:cs="Arial"/>
          <w:noProof/>
          <w:lang w:val="en-US"/>
        </w:rPr>
        <w:drawing>
          <wp:inline distT="0" distB="0" distL="0" distR="0" wp14:anchorId="64FFD32E" wp14:editId="4F02D666">
            <wp:extent cx="2248348" cy="355003"/>
            <wp:effectExtent l="0" t="0" r="0" b="6985"/>
            <wp:docPr id="44" name="Picture 44" descr="C:\Users\harveye\Documents\Documents\Biogen\Neublastin\SPRINT\Journal comments\Second reviewer comments\Final draft\BG487-15 Biogen NPP SPRINT primary ms figures\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harveye\Documents\Documents\Biogen\Neublastin\SPRINT\Journal comments\Second reviewer comments\Final draft\BG487-15 Biogen NPP SPRINT primary ms figures\E1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0" t="27350" r="27286" b="46859"/>
                    <a:stretch/>
                  </pic:blipFill>
                  <pic:spPr bwMode="auto">
                    <a:xfrm>
                      <a:off x="0" y="0"/>
                      <a:ext cx="2248708" cy="35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E668F" w14:textId="135B8101" w:rsidR="006E41EF" w:rsidRDefault="00443E40" w:rsidP="00350DBC">
      <w:pPr>
        <w:spacing w:line="240" w:lineRule="auto"/>
        <w:rPr>
          <w:rFonts w:ascii="Arial" w:hAnsi="Arial" w:cs="Arial"/>
        </w:rPr>
      </w:pPr>
      <w:r w:rsidRPr="0015151B">
        <w:rPr>
          <w:rFonts w:ascii="Arial" w:hAnsi="Arial" w:cs="Arial"/>
          <w:b/>
        </w:rPr>
        <w:t xml:space="preserve">Fig. </w:t>
      </w:r>
      <w:r w:rsidR="006E41EF" w:rsidRPr="0015151B">
        <w:rPr>
          <w:rFonts w:ascii="Arial" w:hAnsi="Arial" w:cs="Arial"/>
          <w:b/>
        </w:rPr>
        <w:t>S1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shows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a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graphical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representation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of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6E41EF" w:rsidRPr="006E41EF">
        <w:rPr>
          <w:rFonts w:ascii="Arial" w:hAnsi="Arial" w:cs="Arial"/>
        </w:rPr>
        <w:t>component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utilities.</w:t>
      </w:r>
    </w:p>
    <w:p w14:paraId="1FB4DD49" w14:textId="37ECAFB6" w:rsidR="00574E69" w:rsidRDefault="00574E69">
      <w:pPr>
        <w:rPr>
          <w:rFonts w:ascii="Arial" w:hAnsi="Arial" w:cs="Arial"/>
          <w:b/>
        </w:rPr>
      </w:pPr>
    </w:p>
    <w:p w14:paraId="05A07DB1" w14:textId="7CF6B619" w:rsidR="006E41EF" w:rsidRPr="0015151B" w:rsidRDefault="006E41EF" w:rsidP="00350DBC">
      <w:pPr>
        <w:spacing w:line="240" w:lineRule="auto"/>
        <w:rPr>
          <w:rFonts w:ascii="Arial" w:hAnsi="Arial" w:cs="Arial"/>
        </w:rPr>
      </w:pPr>
      <w:r w:rsidRPr="006E41EF">
        <w:rPr>
          <w:rFonts w:ascii="Arial" w:hAnsi="Arial" w:cs="Arial"/>
          <w:b/>
        </w:rPr>
        <w:t xml:space="preserve">Figure </w:t>
      </w:r>
      <w:r>
        <w:rPr>
          <w:rFonts w:ascii="Arial" w:hAnsi="Arial" w:cs="Arial"/>
          <w:b/>
        </w:rPr>
        <w:t>S</w:t>
      </w:r>
      <w:r w:rsidRPr="006E41EF">
        <w:rPr>
          <w:rFonts w:ascii="Arial" w:hAnsi="Arial" w:cs="Arial"/>
          <w:b/>
        </w:rPr>
        <w:t xml:space="preserve">1. </w:t>
      </w:r>
      <w:r w:rsidRPr="0015151B">
        <w:rPr>
          <w:rFonts w:ascii="Arial" w:hAnsi="Arial" w:cs="Arial"/>
        </w:rPr>
        <w:t>Component utility for (</w:t>
      </w:r>
      <w:r w:rsidR="00443E40">
        <w:rPr>
          <w:rFonts w:ascii="Arial" w:hAnsi="Arial" w:cs="Arial"/>
        </w:rPr>
        <w:t>A</w:t>
      </w:r>
      <w:r w:rsidRPr="0015151B">
        <w:rPr>
          <w:rFonts w:ascii="Arial" w:hAnsi="Arial" w:cs="Arial"/>
        </w:rPr>
        <w:t xml:space="preserve">) mean change from baseline </w:t>
      </w:r>
      <w:r w:rsidR="003159B7" w:rsidRPr="0015151B">
        <w:rPr>
          <w:rFonts w:ascii="Arial" w:hAnsi="Arial" w:cs="Arial"/>
        </w:rPr>
        <w:t xml:space="preserve">AGPI </w:t>
      </w:r>
      <w:r w:rsidRPr="0015151B">
        <w:rPr>
          <w:rFonts w:ascii="Arial" w:hAnsi="Arial" w:cs="Arial"/>
        </w:rPr>
        <w:t xml:space="preserve">score relative to </w:t>
      </w:r>
      <w:r w:rsidR="003159B7" w:rsidRPr="0015151B">
        <w:rPr>
          <w:rFonts w:ascii="Arial" w:hAnsi="Arial" w:cs="Arial"/>
        </w:rPr>
        <w:t>placebo</w:t>
      </w:r>
      <w:r w:rsidRPr="0015151B">
        <w:rPr>
          <w:rFonts w:ascii="Arial" w:hAnsi="Arial" w:cs="Arial"/>
        </w:rPr>
        <w:t>, and (</w:t>
      </w:r>
      <w:r w:rsidR="00350DBC">
        <w:rPr>
          <w:rFonts w:ascii="Arial" w:hAnsi="Arial" w:cs="Arial"/>
        </w:rPr>
        <w:t>B</w:t>
      </w:r>
      <w:r w:rsidRPr="0015151B">
        <w:rPr>
          <w:rFonts w:ascii="Arial" w:hAnsi="Arial" w:cs="Arial"/>
        </w:rPr>
        <w:t xml:space="preserve">) severe pruritus </w:t>
      </w:r>
      <w:r w:rsidR="003159B7" w:rsidRPr="0015151B">
        <w:rPr>
          <w:rFonts w:ascii="Arial" w:hAnsi="Arial" w:cs="Arial"/>
        </w:rPr>
        <w:t xml:space="preserve">impact </w:t>
      </w:r>
      <w:r w:rsidRPr="0015151B">
        <w:rPr>
          <w:rFonts w:ascii="Arial" w:hAnsi="Arial" w:cs="Arial"/>
        </w:rPr>
        <w:t>rate</w:t>
      </w:r>
      <w:r w:rsidR="00443E40">
        <w:rPr>
          <w:rFonts w:ascii="Arial" w:hAnsi="Arial" w:cs="Arial"/>
        </w:rPr>
        <w:t>.</w:t>
      </w:r>
    </w:p>
    <w:p w14:paraId="448384B3" w14:textId="65F1E4E0" w:rsidR="00262D8C" w:rsidRDefault="00262D8C" w:rsidP="00350DBC">
      <w:pPr>
        <w:spacing w:line="240" w:lineRule="auto"/>
        <w:rPr>
          <w:rFonts w:ascii="Arial" w:hAnsi="Arial" w:cs="Arial"/>
          <w:b/>
        </w:rPr>
      </w:pPr>
      <w:r w:rsidRPr="00262D8C">
        <w:rPr>
          <w:rFonts w:ascii="Arial" w:hAnsi="Arial" w:cs="Arial"/>
          <w:b/>
          <w:noProof/>
          <w:lang w:val="en-US"/>
        </w:rPr>
        <w:drawing>
          <wp:inline distT="0" distB="0" distL="0" distR="0" wp14:anchorId="310FB65F" wp14:editId="204C1B90">
            <wp:extent cx="5572125" cy="2065469"/>
            <wp:effectExtent l="0" t="0" r="0" b="0"/>
            <wp:docPr id="2" name="Picture 2" descr="C:\Users\harveye\Documents\Documents\Biogen\Neublastin\SPRINT\Journal comments\Second reviewer comments\Final draft\BG487-15 Biogen NPP SPRINT primary ms figures\Fig 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rveye\Documents\Documents\Biogen\Neublastin\SPRINT\Journal comments\Second reviewer comments\Final draft\BG487-15 Biogen NPP SPRINT primary ms figures\Fig S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42"/>
                    <a:stretch/>
                  </pic:blipFill>
                  <pic:spPr bwMode="auto">
                    <a:xfrm>
                      <a:off x="0" y="0"/>
                      <a:ext cx="5572461" cy="206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88D8A" w14:textId="3D1E07E0" w:rsidR="006E41EF" w:rsidRDefault="00443E40" w:rsidP="00350DBC">
      <w:pPr>
        <w:spacing w:line="240" w:lineRule="auto"/>
        <w:rPr>
          <w:rFonts w:ascii="Arial" w:hAnsi="Arial" w:cs="Arial"/>
        </w:rPr>
      </w:pPr>
      <w:r w:rsidRPr="0015151B">
        <w:rPr>
          <w:rFonts w:ascii="Arial" w:hAnsi="Arial" w:cs="Arial"/>
          <w:b/>
        </w:rPr>
        <w:t xml:space="preserve">Fig. </w:t>
      </w:r>
      <w:r w:rsidR="006E41EF" w:rsidRPr="0015151B">
        <w:rPr>
          <w:rFonts w:ascii="Arial" w:hAnsi="Arial" w:cs="Arial"/>
          <w:b/>
        </w:rPr>
        <w:t>S2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shows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a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contour</w:t>
      </w:r>
      <w:r w:rsidR="006E41EF">
        <w:rPr>
          <w:rFonts w:ascii="Arial" w:hAnsi="Arial" w:cs="Arial"/>
        </w:rPr>
        <w:t xml:space="preserve"> </w:t>
      </w:r>
      <w:r w:rsidR="000F79DA">
        <w:rPr>
          <w:rFonts w:ascii="Arial" w:hAnsi="Arial" w:cs="Arial"/>
        </w:rPr>
        <w:t>plot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depicting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2-</w:t>
      </w:r>
      <w:r w:rsidR="006E41EF" w:rsidRPr="006E41EF">
        <w:rPr>
          <w:rFonts w:ascii="Arial" w:hAnsi="Arial" w:cs="Arial"/>
        </w:rPr>
        <w:t>dimensional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utility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function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obtained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as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product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of</w:t>
      </w:r>
      <w:r w:rsidR="006E41EF">
        <w:rPr>
          <w:rFonts w:ascii="Arial" w:hAnsi="Arial" w:cs="Arial"/>
        </w:rPr>
        <w:t xml:space="preserve"> </w:t>
      </w:r>
      <w:r w:rsidR="006E41EF" w:rsidRPr="000F79DA">
        <w:rPr>
          <w:rFonts w:ascii="Arial" w:hAnsi="Arial" w:cs="Arial"/>
          <w:i/>
        </w:rPr>
        <w:t>U</w:t>
      </w:r>
      <w:r w:rsidR="006E41EF" w:rsidRPr="0015151B">
        <w:rPr>
          <w:rFonts w:ascii="Arial" w:hAnsi="Arial" w:cs="Arial"/>
          <w:vertAlign w:val="subscript"/>
        </w:rPr>
        <w:t>1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and</w:t>
      </w:r>
      <w:r w:rsidR="006E41EF">
        <w:rPr>
          <w:rFonts w:ascii="Arial" w:hAnsi="Arial" w:cs="Arial"/>
        </w:rPr>
        <w:t xml:space="preserve"> </w:t>
      </w:r>
      <w:r w:rsidR="006E41EF" w:rsidRPr="000F79DA">
        <w:rPr>
          <w:rFonts w:ascii="Arial" w:hAnsi="Arial" w:cs="Arial"/>
          <w:i/>
        </w:rPr>
        <w:t>U</w:t>
      </w:r>
      <w:r w:rsidR="006E41EF" w:rsidRPr="0015151B">
        <w:rPr>
          <w:rFonts w:ascii="Arial" w:hAnsi="Arial" w:cs="Arial"/>
          <w:vertAlign w:val="subscript"/>
        </w:rPr>
        <w:t>2</w:t>
      </w:r>
      <w:r w:rsidR="006E41EF" w:rsidRPr="006E41EF">
        <w:rPr>
          <w:rFonts w:ascii="Arial" w:hAnsi="Arial" w:cs="Arial"/>
        </w:rPr>
        <w:t>.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Scenarios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along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each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contour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line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have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equivalent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utility.</w:t>
      </w:r>
    </w:p>
    <w:p w14:paraId="557ACE4F" w14:textId="77777777" w:rsidR="006E41EF" w:rsidRDefault="006E41EF" w:rsidP="00350DBC">
      <w:pPr>
        <w:spacing w:line="240" w:lineRule="auto"/>
        <w:rPr>
          <w:rFonts w:ascii="Arial" w:hAnsi="Arial" w:cs="Arial"/>
        </w:rPr>
      </w:pPr>
    </w:p>
    <w:p w14:paraId="63498B2F" w14:textId="1A4E2708" w:rsidR="006E41EF" w:rsidRPr="0015151B" w:rsidRDefault="006E41EF" w:rsidP="00350DBC">
      <w:pPr>
        <w:spacing w:line="240" w:lineRule="auto"/>
        <w:rPr>
          <w:rFonts w:ascii="Arial" w:hAnsi="Arial" w:cs="Arial"/>
        </w:rPr>
      </w:pPr>
      <w:r w:rsidRPr="006E41EF">
        <w:rPr>
          <w:rFonts w:ascii="Arial" w:hAnsi="Arial" w:cs="Arial"/>
          <w:b/>
        </w:rPr>
        <w:t xml:space="preserve">Figure S2. </w:t>
      </w:r>
      <w:r w:rsidRPr="0015151B">
        <w:rPr>
          <w:rFonts w:ascii="Arial" w:hAnsi="Arial" w:cs="Arial"/>
        </w:rPr>
        <w:t>Contour plot of the utility function</w:t>
      </w:r>
      <w:r w:rsidR="00443E40">
        <w:rPr>
          <w:rFonts w:ascii="Arial" w:hAnsi="Arial" w:cs="Arial"/>
        </w:rPr>
        <w:t>.</w:t>
      </w:r>
    </w:p>
    <w:p w14:paraId="2A9F1CE7" w14:textId="46A36865" w:rsidR="00262D8C" w:rsidRDefault="00262D8C" w:rsidP="00350DBC">
      <w:pPr>
        <w:spacing w:line="240" w:lineRule="auto"/>
        <w:rPr>
          <w:rFonts w:ascii="Arial" w:hAnsi="Arial" w:cs="Arial"/>
        </w:rPr>
      </w:pPr>
      <w:r w:rsidRPr="00262D8C">
        <w:rPr>
          <w:rFonts w:ascii="Arial" w:hAnsi="Arial" w:cs="Arial"/>
          <w:noProof/>
          <w:lang w:val="en-US"/>
        </w:rPr>
        <w:drawing>
          <wp:inline distT="0" distB="0" distL="0" distR="0" wp14:anchorId="46943E02" wp14:editId="55E20999">
            <wp:extent cx="4389120" cy="2896222"/>
            <wp:effectExtent l="0" t="0" r="0" b="0"/>
            <wp:docPr id="3" name="Picture 3" descr="C:\Users\harveye\Documents\Documents\Biogen\Neublastin\SPRINT\Journal comments\Second reviewer comments\Final draft\BG487-15 Biogen NPP SPRINT primary ms figures\Fig 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rveye\Documents\Documents\Biogen\Neublastin\SPRINT\Journal comments\Second reviewer comments\Final draft\BG487-15 Biogen NPP SPRINT primary ms figures\Fig S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1" t="8457" r="7542" b="6681"/>
                    <a:stretch/>
                  </pic:blipFill>
                  <pic:spPr bwMode="auto">
                    <a:xfrm>
                      <a:off x="0" y="0"/>
                      <a:ext cx="4391227" cy="289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F218DE" w14:textId="70A2C2CE" w:rsidR="006E41EF" w:rsidRPr="006E41EF" w:rsidRDefault="006E41EF" w:rsidP="00350DBC">
      <w:pPr>
        <w:spacing w:line="240" w:lineRule="auto"/>
        <w:rPr>
          <w:rFonts w:ascii="Arial" w:hAnsi="Arial" w:cs="Arial"/>
          <w:b/>
        </w:rPr>
      </w:pPr>
      <w:r w:rsidRPr="006E41EF">
        <w:rPr>
          <w:rFonts w:ascii="Arial" w:hAnsi="Arial" w:cs="Arial"/>
          <w:b/>
        </w:rPr>
        <w:t>2. Allocation</w:t>
      </w:r>
    </w:p>
    <w:p w14:paraId="65B0D43D" w14:textId="0BA80B0E" w:rsidR="006E41EF" w:rsidRDefault="006E41EF" w:rsidP="00350DBC">
      <w:pPr>
        <w:spacing w:line="240" w:lineRule="auto"/>
        <w:rPr>
          <w:rFonts w:ascii="Arial" w:hAnsi="Arial" w:cs="Arial"/>
        </w:rPr>
      </w:pPr>
      <w:r w:rsidRPr="006E41EF">
        <w:rPr>
          <w:rFonts w:ascii="Arial" w:hAnsi="Arial" w:cs="Arial"/>
        </w:rPr>
        <w:t>There</w:t>
      </w:r>
      <w:r>
        <w:rPr>
          <w:rFonts w:ascii="Arial" w:hAnsi="Arial" w:cs="Arial"/>
        </w:rPr>
        <w:t xml:space="preserve"> </w:t>
      </w:r>
      <w:r w:rsidR="004253F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initial</w:t>
      </w:r>
      <w:r>
        <w:rPr>
          <w:rFonts w:ascii="Arial" w:hAnsi="Arial" w:cs="Arial"/>
        </w:rPr>
        <w:t xml:space="preserve"> burn-</w:t>
      </w:r>
      <w:r w:rsidRPr="006E41E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period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patients</w:t>
      </w:r>
      <w:r>
        <w:rPr>
          <w:rFonts w:ascii="Arial" w:hAnsi="Arial" w:cs="Arial"/>
        </w:rPr>
        <w:t xml:space="preserve"> </w:t>
      </w:r>
      <w:r w:rsidR="004E6DB1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allocated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ratio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10:5:5:5:5:5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464230">
        <w:rPr>
          <w:rFonts w:ascii="Arial" w:hAnsi="Arial" w:cs="Arial"/>
        </w:rPr>
        <w:t>placebo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dose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arms,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respectively.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initial</w:t>
      </w:r>
      <w:r>
        <w:rPr>
          <w:rFonts w:ascii="Arial" w:hAnsi="Arial" w:cs="Arial"/>
        </w:rPr>
        <w:t xml:space="preserve"> </w:t>
      </w:r>
      <w:r w:rsidR="004E6DB1">
        <w:rPr>
          <w:rFonts w:ascii="Arial" w:hAnsi="Arial" w:cs="Arial"/>
        </w:rPr>
        <w:t>burn-</w:t>
      </w:r>
      <w:r w:rsidRPr="006E41EF">
        <w:rPr>
          <w:rFonts w:ascii="Arial" w:hAnsi="Arial" w:cs="Arial"/>
        </w:rPr>
        <w:t>in,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adaptive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randomization</w:t>
      </w:r>
      <w:r>
        <w:rPr>
          <w:rFonts w:ascii="Arial" w:hAnsi="Arial" w:cs="Arial"/>
        </w:rPr>
        <w:t xml:space="preserve"> </w:t>
      </w:r>
      <w:r w:rsidR="004E6DB1">
        <w:rPr>
          <w:rFonts w:ascii="Arial" w:hAnsi="Arial" w:cs="Arial"/>
        </w:rPr>
        <w:t>began</w:t>
      </w:r>
      <w:r w:rsidRPr="006E41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Adaptive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randomization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probabilities</w:t>
      </w:r>
      <w:r>
        <w:rPr>
          <w:rFonts w:ascii="Arial" w:hAnsi="Arial" w:cs="Arial"/>
        </w:rPr>
        <w:t xml:space="preserve"> </w:t>
      </w:r>
      <w:r w:rsidR="004E6DB1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updated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weekly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basis.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randomization</w:t>
      </w:r>
      <w:r>
        <w:rPr>
          <w:rFonts w:ascii="Arial" w:hAnsi="Arial" w:cs="Arial"/>
        </w:rPr>
        <w:t xml:space="preserve"> </w:t>
      </w:r>
      <w:r w:rsidR="00DF460C" w:rsidRPr="006E41EF">
        <w:rPr>
          <w:rFonts w:ascii="Arial" w:hAnsi="Arial" w:cs="Arial"/>
        </w:rPr>
        <w:t>occur</w:t>
      </w:r>
      <w:r w:rsidR="00DF460C">
        <w:rPr>
          <w:rFonts w:ascii="Arial" w:hAnsi="Arial" w:cs="Arial"/>
        </w:rPr>
        <w:t>red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blocks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such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out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patients</w:t>
      </w:r>
      <w:r>
        <w:rPr>
          <w:rFonts w:ascii="Arial" w:hAnsi="Arial" w:cs="Arial"/>
        </w:rPr>
        <w:t xml:space="preserve"> </w:t>
      </w:r>
      <w:r w:rsidR="004E6DB1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allocated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464230">
        <w:rPr>
          <w:rFonts w:ascii="Arial" w:hAnsi="Arial" w:cs="Arial"/>
        </w:rPr>
        <w:t>placebo</w:t>
      </w:r>
      <w:r w:rsidRPr="006E41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remaining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patients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block</w:t>
      </w:r>
      <w:r>
        <w:rPr>
          <w:rFonts w:ascii="Arial" w:hAnsi="Arial" w:cs="Arial"/>
        </w:rPr>
        <w:t xml:space="preserve"> </w:t>
      </w:r>
      <w:r w:rsidR="004E6DB1">
        <w:rPr>
          <w:rFonts w:ascii="Arial" w:hAnsi="Arial" w:cs="Arial"/>
        </w:rPr>
        <w:t>were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randomized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doses.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randomization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probability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active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doses</w:t>
      </w:r>
      <w:r>
        <w:rPr>
          <w:rFonts w:ascii="Arial" w:hAnsi="Arial" w:cs="Arial"/>
        </w:rPr>
        <w:t xml:space="preserve"> </w:t>
      </w:r>
      <w:r w:rsidR="004E6DB1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weighted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according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variance</w:t>
      </w:r>
      <w:r>
        <w:rPr>
          <w:rFonts w:ascii="Arial" w:hAnsi="Arial" w:cs="Arial"/>
        </w:rPr>
        <w:t xml:space="preserve"> </w:t>
      </w:r>
      <w:r w:rsidRPr="006E41EF">
        <w:rPr>
          <w:rFonts w:ascii="Arial" w:hAnsi="Arial" w:cs="Arial"/>
        </w:rPr>
        <w:t>components:</w:t>
      </w:r>
    </w:p>
    <w:p w14:paraId="4FB0BF51" w14:textId="082D3F40" w:rsidR="00E225D2" w:rsidRDefault="00E225D2" w:rsidP="00350DBC">
      <w:pPr>
        <w:spacing w:line="240" w:lineRule="auto"/>
        <w:jc w:val="center"/>
        <w:rPr>
          <w:rFonts w:ascii="Arial" w:hAnsi="Arial" w:cs="Arial"/>
        </w:rPr>
      </w:pPr>
      <w:r w:rsidRPr="00E225D2">
        <w:rPr>
          <w:rFonts w:ascii="Arial" w:hAnsi="Arial" w:cs="Arial"/>
          <w:noProof/>
          <w:lang w:val="en-US"/>
        </w:rPr>
        <w:drawing>
          <wp:inline distT="0" distB="0" distL="0" distR="0" wp14:anchorId="73A7CC35" wp14:editId="12E2796A">
            <wp:extent cx="2474259" cy="753035"/>
            <wp:effectExtent l="0" t="0" r="2540" b="9525"/>
            <wp:docPr id="45" name="Picture 45" descr="C:\Users\harveye\Documents\Documents\Biogen\Neublastin\SPRINT\Journal comments\Second reviewer comments\Final draft\BG487-15 Biogen NPP SPRINT primary ms figures\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harveye\Documents\Documents\Biogen\Neublastin\SPRINT\Journal comments\Second reviewer comments\Final draft\BG487-15 Biogen NPP SPRINT primary ms figures\E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2" t="21098" r="12452" b="24183"/>
                    <a:stretch/>
                  </pic:blipFill>
                  <pic:spPr bwMode="auto">
                    <a:xfrm>
                      <a:off x="0" y="0"/>
                      <a:ext cx="2475111" cy="75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9D54C" w14:textId="4357241B" w:rsidR="006E41EF" w:rsidRDefault="004E6DB1" w:rsidP="00350DB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E41EF" w:rsidRPr="006E41EF">
        <w:rPr>
          <w:rFonts w:ascii="Arial" w:hAnsi="Arial" w:cs="Arial"/>
        </w:rPr>
        <w:t>here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Pr(</w:t>
      </w:r>
      <w:r w:rsidR="006E41EF" w:rsidRPr="00092579">
        <w:rPr>
          <w:rFonts w:ascii="Arial" w:hAnsi="Arial" w:cs="Arial"/>
          <w:i/>
        </w:rPr>
        <w:t>d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=</w:t>
      </w:r>
      <w:r w:rsidR="006E41EF">
        <w:rPr>
          <w:rFonts w:ascii="Arial" w:hAnsi="Arial" w:cs="Arial"/>
        </w:rPr>
        <w:t xml:space="preserve"> </w:t>
      </w:r>
      <w:r w:rsidR="006E41EF" w:rsidRPr="00092579">
        <w:rPr>
          <w:rFonts w:ascii="Arial" w:hAnsi="Arial" w:cs="Arial"/>
          <w:i/>
        </w:rPr>
        <w:t>d</w:t>
      </w:r>
      <w:r w:rsidR="006E41EF" w:rsidRPr="00092579">
        <w:rPr>
          <w:rFonts w:ascii="Arial" w:hAnsi="Arial" w:cs="Arial"/>
          <w:i/>
          <w:vertAlign w:val="subscript"/>
        </w:rPr>
        <w:t>Umax</w:t>
      </w:r>
      <w:r w:rsidR="006E41EF" w:rsidRPr="006E41EF">
        <w:rPr>
          <w:rFonts w:ascii="Arial" w:hAnsi="Arial" w:cs="Arial"/>
        </w:rPr>
        <w:t>)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is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probability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that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dose</w:t>
      </w:r>
      <w:r w:rsidR="006E41EF">
        <w:rPr>
          <w:rFonts w:ascii="Arial" w:hAnsi="Arial" w:cs="Arial"/>
        </w:rPr>
        <w:t xml:space="preserve"> </w:t>
      </w:r>
      <w:r w:rsidR="006E41EF" w:rsidRPr="00106DD6">
        <w:rPr>
          <w:rFonts w:ascii="Arial" w:hAnsi="Arial" w:cs="Arial"/>
          <w:i/>
        </w:rPr>
        <w:t>d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is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dose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with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highest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utility,</w:t>
      </w:r>
      <w:r w:rsidR="006E41EF">
        <w:rPr>
          <w:rFonts w:ascii="Arial" w:hAnsi="Arial" w:cs="Arial"/>
        </w:rPr>
        <w:t xml:space="preserve"> </w:t>
      </w:r>
      <w:r w:rsidR="006E41EF" w:rsidRPr="00106DD6">
        <w:rPr>
          <w:rFonts w:ascii="Arial" w:hAnsi="Arial" w:cs="Arial"/>
          <w:i/>
        </w:rPr>
        <w:t>Var(U</w:t>
      </w:r>
      <w:r w:rsidR="006E41EF" w:rsidRPr="00106DD6">
        <w:rPr>
          <w:rFonts w:ascii="Arial" w:hAnsi="Arial" w:cs="Arial"/>
          <w:i/>
          <w:vertAlign w:val="subscript"/>
        </w:rPr>
        <w:t>d</w:t>
      </w:r>
      <w:r w:rsidR="006E41EF" w:rsidRPr="00106DD6">
        <w:rPr>
          <w:rFonts w:ascii="Arial" w:hAnsi="Arial" w:cs="Arial"/>
          <w:i/>
        </w:rPr>
        <w:t>)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is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posterior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variance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of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utility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at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dose</w:t>
      </w:r>
      <w:r w:rsidR="006E41EF">
        <w:rPr>
          <w:rFonts w:ascii="Arial" w:hAnsi="Arial" w:cs="Arial"/>
        </w:rPr>
        <w:t xml:space="preserve"> </w:t>
      </w:r>
      <w:r w:rsidR="006E41EF" w:rsidRPr="0081742A">
        <w:rPr>
          <w:rFonts w:ascii="Arial" w:hAnsi="Arial" w:cs="Arial"/>
          <w:i/>
        </w:rPr>
        <w:t>d</w:t>
      </w:r>
      <w:r w:rsidR="006E41EF" w:rsidRPr="006E41EF">
        <w:rPr>
          <w:rFonts w:ascii="Arial" w:hAnsi="Arial" w:cs="Arial"/>
        </w:rPr>
        <w:t>,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and</w:t>
      </w:r>
      <w:r w:rsidR="006E41EF">
        <w:rPr>
          <w:rFonts w:ascii="Arial" w:hAnsi="Arial" w:cs="Arial"/>
        </w:rPr>
        <w:t xml:space="preserve"> </w:t>
      </w:r>
      <w:r w:rsidR="006E41EF" w:rsidRPr="00106DD6">
        <w:rPr>
          <w:rFonts w:ascii="Arial" w:hAnsi="Arial" w:cs="Arial"/>
          <w:i/>
        </w:rPr>
        <w:t>n</w:t>
      </w:r>
      <w:r w:rsidR="006E41EF" w:rsidRPr="00106DD6">
        <w:rPr>
          <w:rFonts w:ascii="Arial" w:hAnsi="Arial" w:cs="Arial"/>
          <w:i/>
          <w:vertAlign w:val="subscript"/>
        </w:rPr>
        <w:t>d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is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current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number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of</w:t>
      </w:r>
      <w:r w:rsidR="006E41EF"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patients </w:t>
      </w:r>
      <w:r w:rsidR="006E41EF" w:rsidRPr="006E41EF">
        <w:rPr>
          <w:rFonts w:ascii="Arial" w:hAnsi="Arial" w:cs="Arial"/>
        </w:rPr>
        <w:t>allocated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to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dose</w:t>
      </w:r>
      <w:r w:rsidR="006E41EF">
        <w:rPr>
          <w:rFonts w:ascii="Arial" w:hAnsi="Arial" w:cs="Arial"/>
        </w:rPr>
        <w:t xml:space="preserve"> </w:t>
      </w:r>
      <w:r w:rsidR="006E41EF" w:rsidRPr="00106DD6">
        <w:rPr>
          <w:rFonts w:ascii="Arial" w:hAnsi="Arial" w:cs="Arial"/>
          <w:i/>
        </w:rPr>
        <w:t>d</w:t>
      </w:r>
      <w:r w:rsidR="006E41EF" w:rsidRPr="006E41EF">
        <w:rPr>
          <w:rFonts w:ascii="Arial" w:hAnsi="Arial" w:cs="Arial"/>
        </w:rPr>
        <w:t>.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</w:t>
      </w:r>
      <w:r w:rsidR="006E41EF" w:rsidRPr="003E70E6">
        <w:rPr>
          <w:rFonts w:ascii="Arial" w:hAnsi="Arial" w:cs="Arial"/>
          <w:i/>
        </w:rPr>
        <w:t>V</w:t>
      </w:r>
      <w:r w:rsidR="006E41EF" w:rsidRPr="003E70E6">
        <w:rPr>
          <w:rFonts w:ascii="Arial" w:hAnsi="Arial" w:cs="Arial"/>
          <w:i/>
          <w:vertAlign w:val="subscript"/>
        </w:rPr>
        <w:t>d</w:t>
      </w:r>
      <w:r w:rsidR="006E41EF">
        <w:rPr>
          <w:rFonts w:ascii="Arial" w:hAnsi="Arial" w:cs="Arial"/>
        </w:rPr>
        <w:t xml:space="preserve"> </w:t>
      </w:r>
      <w:r w:rsidR="003E70E6">
        <w:rPr>
          <w:rFonts w:ascii="Arial" w:hAnsi="Arial" w:cs="Arial"/>
        </w:rPr>
        <w:t>were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normalized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to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sum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to</w:t>
      </w:r>
      <w:r w:rsidR="006E41EF"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>1</w:t>
      </w:r>
      <w:r w:rsidR="006E41EF" w:rsidRPr="006E41EF">
        <w:rPr>
          <w:rFonts w:ascii="Arial" w:hAnsi="Arial" w:cs="Arial"/>
        </w:rPr>
        <w:t>.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Probabilities</w:t>
      </w:r>
      <w:r w:rsidR="006E41EF"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>&lt;</w:t>
      </w:r>
      <w:r w:rsidR="006E41EF" w:rsidRPr="006E41EF">
        <w:rPr>
          <w:rFonts w:ascii="Arial" w:hAnsi="Arial" w:cs="Arial"/>
        </w:rPr>
        <w:t>0.03</w:t>
      </w:r>
      <w:r w:rsidR="006E41EF">
        <w:rPr>
          <w:rFonts w:ascii="Arial" w:hAnsi="Arial" w:cs="Arial"/>
        </w:rPr>
        <w:t xml:space="preserve"> </w:t>
      </w:r>
      <w:r w:rsidR="003E70E6">
        <w:rPr>
          <w:rFonts w:ascii="Arial" w:hAnsi="Arial" w:cs="Arial"/>
        </w:rPr>
        <w:t>were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set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to</w:t>
      </w:r>
      <w:r w:rsidR="006E41EF">
        <w:rPr>
          <w:rFonts w:ascii="Arial" w:hAnsi="Arial" w:cs="Arial"/>
        </w:rPr>
        <w:t xml:space="preserve"> </w:t>
      </w:r>
      <w:r w:rsidR="00443E40">
        <w:rPr>
          <w:rFonts w:ascii="Arial" w:hAnsi="Arial" w:cs="Arial"/>
        </w:rPr>
        <w:t xml:space="preserve">0 </w:t>
      </w:r>
      <w:r w:rsidR="006E41EF" w:rsidRPr="006E41EF">
        <w:rPr>
          <w:rFonts w:ascii="Arial" w:hAnsi="Arial" w:cs="Arial"/>
        </w:rPr>
        <w:t>for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all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subsequent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interims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(permanently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dropping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dose),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and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probabilities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for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the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remaining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doses</w:t>
      </w:r>
      <w:r w:rsidR="006E41EF">
        <w:rPr>
          <w:rFonts w:ascii="Arial" w:hAnsi="Arial" w:cs="Arial"/>
        </w:rPr>
        <w:t xml:space="preserve"> </w:t>
      </w:r>
      <w:r w:rsidR="003E70E6">
        <w:rPr>
          <w:rFonts w:ascii="Arial" w:hAnsi="Arial" w:cs="Arial"/>
        </w:rPr>
        <w:t>were</w:t>
      </w:r>
      <w:r w:rsidR="006E41EF">
        <w:rPr>
          <w:rFonts w:ascii="Arial" w:hAnsi="Arial" w:cs="Arial"/>
        </w:rPr>
        <w:t xml:space="preserve"> </w:t>
      </w:r>
      <w:r w:rsidR="006E41EF" w:rsidRPr="006E41EF">
        <w:rPr>
          <w:rFonts w:ascii="Arial" w:hAnsi="Arial" w:cs="Arial"/>
        </w:rPr>
        <w:t>renormalized.</w:t>
      </w:r>
    </w:p>
    <w:p w14:paraId="600D38C4" w14:textId="77777777" w:rsidR="00AE168B" w:rsidRDefault="00AE168B" w:rsidP="00350DBC">
      <w:pPr>
        <w:spacing w:line="240" w:lineRule="auto"/>
        <w:rPr>
          <w:rFonts w:ascii="Arial" w:hAnsi="Arial" w:cs="Arial"/>
        </w:rPr>
      </w:pPr>
    </w:p>
    <w:p w14:paraId="3593A224" w14:textId="5DFD02AB" w:rsidR="00AE168B" w:rsidRPr="006E41EF" w:rsidRDefault="00421976" w:rsidP="00350DBC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AE168B" w:rsidRPr="006E41EF">
        <w:rPr>
          <w:rFonts w:ascii="Arial" w:hAnsi="Arial" w:cs="Arial"/>
          <w:b/>
        </w:rPr>
        <w:t xml:space="preserve">. </w:t>
      </w:r>
      <w:r w:rsidR="00AE168B">
        <w:rPr>
          <w:rFonts w:ascii="Arial" w:hAnsi="Arial" w:cs="Arial"/>
          <w:b/>
        </w:rPr>
        <w:t xml:space="preserve">Statistical </w:t>
      </w:r>
      <w:r w:rsidR="00FA0E6B">
        <w:rPr>
          <w:rFonts w:ascii="Arial" w:hAnsi="Arial" w:cs="Arial"/>
          <w:b/>
        </w:rPr>
        <w:t>p</w:t>
      </w:r>
      <w:r w:rsidR="00AE168B">
        <w:rPr>
          <w:rFonts w:ascii="Arial" w:hAnsi="Arial" w:cs="Arial"/>
          <w:b/>
        </w:rPr>
        <w:t xml:space="preserve">ower of the </w:t>
      </w:r>
      <w:r w:rsidR="00FA0E6B">
        <w:rPr>
          <w:rFonts w:ascii="Arial" w:hAnsi="Arial" w:cs="Arial"/>
          <w:b/>
        </w:rPr>
        <w:t>s</w:t>
      </w:r>
      <w:r w:rsidR="00AE168B">
        <w:rPr>
          <w:rFonts w:ascii="Arial" w:hAnsi="Arial" w:cs="Arial"/>
          <w:b/>
        </w:rPr>
        <w:t>tudy</w:t>
      </w:r>
    </w:p>
    <w:p w14:paraId="7647A50C" w14:textId="3D0B13C7" w:rsidR="00AE168B" w:rsidRDefault="00AE168B" w:rsidP="00350DB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study planned to enrol</w:t>
      </w:r>
      <w:r w:rsidR="00443E4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165 patients in order to provide 150 evaluable patients with the primary endpoint. The maximum sample size was determined by simulation so that the study would provide </w:t>
      </w:r>
      <w:r w:rsidR="00443E40">
        <w:rPr>
          <w:rFonts w:ascii="Arial" w:hAnsi="Arial" w:cs="Arial"/>
        </w:rPr>
        <w:t>~</w:t>
      </w:r>
      <w:r>
        <w:rPr>
          <w:rFonts w:ascii="Arial" w:hAnsi="Arial" w:cs="Arial"/>
        </w:rPr>
        <w:t>75% power to detect a treatment difference of 1.5 points between the most efficacious dose and placebo in the primary endpoint</w:t>
      </w:r>
      <w:r w:rsidR="00350DCD">
        <w:rPr>
          <w:rFonts w:ascii="Arial" w:hAnsi="Arial" w:cs="Arial"/>
        </w:rPr>
        <w:t xml:space="preserve"> if the final data were analy</w:t>
      </w:r>
      <w:r w:rsidR="00443E40">
        <w:rPr>
          <w:rFonts w:ascii="Arial" w:hAnsi="Arial" w:cs="Arial"/>
        </w:rPr>
        <w:t>z</w:t>
      </w:r>
      <w:r w:rsidR="00350DCD">
        <w:rPr>
          <w:rFonts w:ascii="Arial" w:hAnsi="Arial" w:cs="Arial"/>
        </w:rPr>
        <w:t>ed using traditional analysis of variance tests</w:t>
      </w:r>
      <w:r>
        <w:rPr>
          <w:rFonts w:ascii="Arial" w:hAnsi="Arial" w:cs="Arial"/>
        </w:rPr>
        <w:t>. Th</w:t>
      </w:r>
      <w:r w:rsidR="006F46E5">
        <w:rPr>
          <w:rFonts w:ascii="Arial" w:hAnsi="Arial" w:cs="Arial"/>
        </w:rPr>
        <w:t>e simulation assumed a</w:t>
      </w:r>
      <w:r w:rsidR="00B405E2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efficacy scenario </w:t>
      </w:r>
      <w:r w:rsidR="00E341E3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the most efficacious dose </w:t>
      </w:r>
      <w:r w:rsidR="007A3929">
        <w:rPr>
          <w:rFonts w:ascii="Arial" w:hAnsi="Arial" w:cs="Arial"/>
        </w:rPr>
        <w:t>(</w:t>
      </w:r>
      <w:r w:rsidR="0015151B">
        <w:rPr>
          <w:rFonts w:ascii="Arial" w:hAnsi="Arial" w:cs="Arial"/>
        </w:rPr>
        <w:t xml:space="preserve">in this simulation, </w:t>
      </w:r>
      <w:r w:rsidR="007A3929">
        <w:rPr>
          <w:rFonts w:ascii="Arial" w:hAnsi="Arial" w:cs="Arial"/>
        </w:rPr>
        <w:t xml:space="preserve">the highest dose) </w:t>
      </w:r>
      <w:r>
        <w:rPr>
          <w:rFonts w:ascii="Arial" w:hAnsi="Arial" w:cs="Arial"/>
        </w:rPr>
        <w:t>having 1.5 points difference from the placebo. A common standard deviation of 2.</w:t>
      </w:r>
      <w:r w:rsidR="005E6518">
        <w:rPr>
          <w:rFonts w:ascii="Arial" w:hAnsi="Arial" w:cs="Arial"/>
        </w:rPr>
        <w:t xml:space="preserve">2 and a dropout rate of 10% </w:t>
      </w:r>
      <w:r w:rsidR="00443E40">
        <w:rPr>
          <w:rFonts w:ascii="Arial" w:hAnsi="Arial" w:cs="Arial"/>
        </w:rPr>
        <w:t xml:space="preserve">also </w:t>
      </w:r>
      <w:r w:rsidR="005E6518">
        <w:rPr>
          <w:rFonts w:ascii="Arial" w:hAnsi="Arial" w:cs="Arial"/>
        </w:rPr>
        <w:t xml:space="preserve">were </w:t>
      </w:r>
      <w:r w:rsidR="00FA0E6B">
        <w:rPr>
          <w:rFonts w:ascii="Arial" w:hAnsi="Arial" w:cs="Arial"/>
        </w:rPr>
        <w:t>assumed.</w:t>
      </w:r>
    </w:p>
    <w:sectPr w:rsidR="00AE168B">
      <w:headerReference w:type="default" r:id="rId29"/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37DD5" w14:textId="77777777" w:rsidR="009C6EA9" w:rsidRDefault="009C6EA9" w:rsidP="000028A5">
      <w:pPr>
        <w:spacing w:after="0" w:line="240" w:lineRule="auto"/>
      </w:pPr>
      <w:r>
        <w:separator/>
      </w:r>
    </w:p>
  </w:endnote>
  <w:endnote w:type="continuationSeparator" w:id="0">
    <w:p w14:paraId="0DA28C8D" w14:textId="77777777" w:rsidR="009C6EA9" w:rsidRDefault="009C6EA9" w:rsidP="0000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5484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8836764" w14:textId="46482923" w:rsidR="00350DBC" w:rsidRPr="0015151B" w:rsidRDefault="00350DBC">
        <w:pPr>
          <w:pStyle w:val="Footer"/>
          <w:jc w:val="right"/>
          <w:rPr>
            <w:rFonts w:ascii="Arial" w:hAnsi="Arial" w:cs="Arial"/>
          </w:rPr>
        </w:pPr>
        <w:r w:rsidRPr="0015151B">
          <w:rPr>
            <w:rFonts w:ascii="Arial" w:hAnsi="Arial" w:cs="Arial"/>
          </w:rPr>
          <w:fldChar w:fldCharType="begin"/>
        </w:r>
        <w:r w:rsidRPr="0015151B">
          <w:rPr>
            <w:rFonts w:ascii="Arial" w:hAnsi="Arial" w:cs="Arial"/>
          </w:rPr>
          <w:instrText xml:space="preserve"> PAGE   \* MERGEFORMAT </w:instrText>
        </w:r>
        <w:r w:rsidRPr="0015151B">
          <w:rPr>
            <w:rFonts w:ascii="Arial" w:hAnsi="Arial" w:cs="Arial"/>
          </w:rPr>
          <w:fldChar w:fldCharType="separate"/>
        </w:r>
        <w:r w:rsidR="00F93A9E">
          <w:rPr>
            <w:rFonts w:ascii="Arial" w:hAnsi="Arial" w:cs="Arial"/>
            <w:noProof/>
          </w:rPr>
          <w:t>1</w:t>
        </w:r>
        <w:r w:rsidRPr="0015151B">
          <w:rPr>
            <w:rFonts w:ascii="Arial" w:hAnsi="Arial" w:cs="Arial"/>
            <w:noProof/>
          </w:rPr>
          <w:fldChar w:fldCharType="end"/>
        </w:r>
      </w:p>
    </w:sdtContent>
  </w:sdt>
  <w:p w14:paraId="269898AC" w14:textId="77777777" w:rsidR="00350DBC" w:rsidRDefault="00350D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A9DD5" w14:textId="77777777" w:rsidR="009C6EA9" w:rsidRDefault="009C6EA9" w:rsidP="000028A5">
      <w:pPr>
        <w:spacing w:after="0" w:line="240" w:lineRule="auto"/>
      </w:pPr>
      <w:r>
        <w:separator/>
      </w:r>
    </w:p>
  </w:footnote>
  <w:footnote w:type="continuationSeparator" w:id="0">
    <w:p w14:paraId="71E3B7FC" w14:textId="77777777" w:rsidR="009C6EA9" w:rsidRDefault="009C6EA9" w:rsidP="0000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900CD" w14:textId="68DDAF47" w:rsidR="00B45BD2" w:rsidRPr="000028A5" w:rsidRDefault="00920F65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Backonja SPRINT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Supplementary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3E56"/>
    <w:multiLevelType w:val="hybridMultilevel"/>
    <w:tmpl w:val="87A2D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5E8E"/>
    <w:multiLevelType w:val="multilevel"/>
    <w:tmpl w:val="07905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4214F4"/>
    <w:multiLevelType w:val="hybridMultilevel"/>
    <w:tmpl w:val="8B1A0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A5"/>
    <w:rsid w:val="000028A5"/>
    <w:rsid w:val="00012150"/>
    <w:rsid w:val="00030574"/>
    <w:rsid w:val="00031F71"/>
    <w:rsid w:val="00041D5D"/>
    <w:rsid w:val="00043CB0"/>
    <w:rsid w:val="000502ED"/>
    <w:rsid w:val="00067E0F"/>
    <w:rsid w:val="00092579"/>
    <w:rsid w:val="000C1227"/>
    <w:rsid w:val="000F79DA"/>
    <w:rsid w:val="00106DD6"/>
    <w:rsid w:val="0015151B"/>
    <w:rsid w:val="00175280"/>
    <w:rsid w:val="001B2A38"/>
    <w:rsid w:val="001B78E4"/>
    <w:rsid w:val="001E0042"/>
    <w:rsid w:val="001E2F50"/>
    <w:rsid w:val="001F1513"/>
    <w:rsid w:val="001F7AB3"/>
    <w:rsid w:val="002228E6"/>
    <w:rsid w:val="00262D8C"/>
    <w:rsid w:val="002E72E0"/>
    <w:rsid w:val="002F4BD6"/>
    <w:rsid w:val="00305F2D"/>
    <w:rsid w:val="003154F6"/>
    <w:rsid w:val="003159B7"/>
    <w:rsid w:val="00350DBC"/>
    <w:rsid w:val="00350DCD"/>
    <w:rsid w:val="003B02AC"/>
    <w:rsid w:val="003E70E6"/>
    <w:rsid w:val="003F1A68"/>
    <w:rsid w:val="00402598"/>
    <w:rsid w:val="00421976"/>
    <w:rsid w:val="004253F9"/>
    <w:rsid w:val="00443E40"/>
    <w:rsid w:val="00454041"/>
    <w:rsid w:val="00464230"/>
    <w:rsid w:val="00491B32"/>
    <w:rsid w:val="004B2DF3"/>
    <w:rsid w:val="004E6DB1"/>
    <w:rsid w:val="00523F7F"/>
    <w:rsid w:val="005313C7"/>
    <w:rsid w:val="00535692"/>
    <w:rsid w:val="00574E69"/>
    <w:rsid w:val="005C0F92"/>
    <w:rsid w:val="005E6518"/>
    <w:rsid w:val="00612E74"/>
    <w:rsid w:val="0061410A"/>
    <w:rsid w:val="00641B20"/>
    <w:rsid w:val="0066352A"/>
    <w:rsid w:val="006676F8"/>
    <w:rsid w:val="006E41EF"/>
    <w:rsid w:val="006E4AD7"/>
    <w:rsid w:val="006F46E5"/>
    <w:rsid w:val="00780725"/>
    <w:rsid w:val="007A3929"/>
    <w:rsid w:val="007F2D11"/>
    <w:rsid w:val="0081742A"/>
    <w:rsid w:val="00820CA5"/>
    <w:rsid w:val="0086132B"/>
    <w:rsid w:val="008E20E8"/>
    <w:rsid w:val="008E3EA9"/>
    <w:rsid w:val="008F69FE"/>
    <w:rsid w:val="00920F65"/>
    <w:rsid w:val="0097237E"/>
    <w:rsid w:val="009A6517"/>
    <w:rsid w:val="009C6EA9"/>
    <w:rsid w:val="009E79FD"/>
    <w:rsid w:val="009F1A42"/>
    <w:rsid w:val="00A23535"/>
    <w:rsid w:val="00A77A63"/>
    <w:rsid w:val="00AE168B"/>
    <w:rsid w:val="00B405E2"/>
    <w:rsid w:val="00B40A1D"/>
    <w:rsid w:val="00B45BD2"/>
    <w:rsid w:val="00B62CBA"/>
    <w:rsid w:val="00BB3E8D"/>
    <w:rsid w:val="00BD2678"/>
    <w:rsid w:val="00C25235"/>
    <w:rsid w:val="00C40E6F"/>
    <w:rsid w:val="00C44949"/>
    <w:rsid w:val="00C6455D"/>
    <w:rsid w:val="00CB50E9"/>
    <w:rsid w:val="00CD0FC9"/>
    <w:rsid w:val="00CE1DBF"/>
    <w:rsid w:val="00D172C7"/>
    <w:rsid w:val="00D867D1"/>
    <w:rsid w:val="00D91CD0"/>
    <w:rsid w:val="00DD2688"/>
    <w:rsid w:val="00DF460C"/>
    <w:rsid w:val="00E21D42"/>
    <w:rsid w:val="00E225D2"/>
    <w:rsid w:val="00E341E3"/>
    <w:rsid w:val="00E37C5F"/>
    <w:rsid w:val="00E9460C"/>
    <w:rsid w:val="00F02F93"/>
    <w:rsid w:val="00F31E39"/>
    <w:rsid w:val="00F90835"/>
    <w:rsid w:val="00F9098D"/>
    <w:rsid w:val="00F93A9E"/>
    <w:rsid w:val="00FA0E6B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A8A2F"/>
  <w15:docId w15:val="{BE9CE2B1-50BA-4050-8D14-C503441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8A5"/>
  </w:style>
  <w:style w:type="paragraph" w:styleId="Footer">
    <w:name w:val="footer"/>
    <w:basedOn w:val="Normal"/>
    <w:link w:val="FooterChar"/>
    <w:uiPriority w:val="99"/>
    <w:unhideWhenUsed/>
    <w:rsid w:val="00002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8A5"/>
  </w:style>
  <w:style w:type="paragraph" w:styleId="ListParagraph">
    <w:name w:val="List Paragraph"/>
    <w:basedOn w:val="Normal"/>
    <w:uiPriority w:val="34"/>
    <w:qFormat/>
    <w:rsid w:val="000028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5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2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1211</Words>
  <Characters>6908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Biogen Idec</Company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Harvey, Elizabeth</dc:creator>
  <cp:lastModifiedBy>Kiniry, Jennie</cp:lastModifiedBy>
  <cp:revision>2</cp:revision>
  <cp:lastPrinted>2017-05-03T16:25:00Z</cp:lastPrinted>
  <dcterms:created xsi:type="dcterms:W3CDTF">2017-06-20T22:02:00Z</dcterms:created>
  <dcterms:modified xsi:type="dcterms:W3CDTF">2017-06-20T22:02:00Z</dcterms:modified>
</cp:coreProperties>
</file>