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3"/>
        <w:gridCol w:w="647"/>
        <w:gridCol w:w="1087"/>
        <w:gridCol w:w="999"/>
        <w:gridCol w:w="961"/>
        <w:gridCol w:w="910"/>
        <w:gridCol w:w="829"/>
        <w:gridCol w:w="972"/>
        <w:gridCol w:w="972"/>
        <w:gridCol w:w="716"/>
        <w:gridCol w:w="972"/>
        <w:gridCol w:w="972"/>
      </w:tblGrid>
      <w:tr w:rsidR="00000000" w14:paraId="7FD6AA31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13A22809" w14:textId="181E32F2" w:rsidR="00000000" w:rsidRDefault="00376A12">
            <w:pPr>
              <w:pStyle w:val="title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PICO #5. </w:t>
            </w:r>
            <w:bookmarkStart w:id="0" w:name="_GoBack"/>
            <w:bookmarkEnd w:id="0"/>
            <w:r w:rsidR="00282D3D">
              <w:rPr>
                <w:rFonts w:ascii="Verdana" w:hAnsi="Verdana"/>
                <w:b/>
                <w:bCs/>
              </w:rPr>
              <w:t>A thoracic epidural catheter and structured multi-modal pain therapy per institutional protocol compared to structured multi-modal pain therapy per institutional protocol alone for adults age &gt;</w:t>
            </w:r>
            <w:r w:rsidR="00282D3D">
              <w:rPr>
                <w:rFonts w:ascii="Verdana" w:hAnsi="Verdana"/>
                <w:b/>
                <w:bCs/>
              </w:rPr>
              <w:t>65 years old s with ≥3 rib fractures and dyspnea or refractory pain</w:t>
            </w:r>
          </w:p>
          <w:p w14:paraId="4EE69B0A" w14:textId="77777777" w:rsidR="00000000" w:rsidRDefault="00282D3D">
            <w:pPr>
              <w:divId w:val="1130827330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Bibliography: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000" w14:paraId="5C96227F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94C18A7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75AAC71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000000" w14:paraId="6145E7AD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6B64BDD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A891C14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906E6FC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8D82278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6AF3607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AB87B9E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26B2468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360729C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619B9CB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3F96289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000000" w14:paraId="581AF2BD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1D5C3BE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0C33F72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D65AFB6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112B4E8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5B2EF50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C93B165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90947A8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40EDB50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structured multi-modal pain therapy per institutional protocol alone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9005964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a thoracic epidural catheter and structured multi-modal pain therapy per institutional protocol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D721630" w14:textId="77777777" w:rsidR="00000000" w:rsidRDefault="00282D3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CCA0680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with structured multi-modal pain therapy per institutional protocol alone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D685F3F" w14:textId="77777777" w:rsidR="00000000" w:rsidRDefault="00282D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difference with a thoracic epidural catheter and structured multi-mod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al pain therapy per institutional protocol</w:t>
            </w:r>
          </w:p>
        </w:tc>
      </w:tr>
      <w:tr w:rsidR="00000000" w14:paraId="386B9BC6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CDF2A6F" w14:textId="77777777" w:rsidR="00000000" w:rsidRDefault="00282D3D">
            <w:pPr>
              <w:divId w:val="1477456755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Pneumonia</w:t>
            </w:r>
          </w:p>
        </w:tc>
      </w:tr>
      <w:tr w:rsidR="00000000" w14:paraId="7BEBC228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3BE4B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98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(3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8020A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2F559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4E9D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3E3D5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83387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D9104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13187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13/51 (25.5%)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5D140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6/47 (12.8%)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97B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block"/>
                <w:rFonts w:ascii="Verdana" w:eastAsia="Times New Roman" w:hAnsi="Verdana"/>
                <w:b/>
                <w:bCs/>
                <w:sz w:val="16"/>
                <w:szCs w:val="16"/>
              </w:rPr>
              <w:t>OR 0.37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(0.12 to 1.15)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4ED98" w14:textId="77777777" w:rsidR="00000000" w:rsidRDefault="00282D3D">
            <w:pPr>
              <w:jc w:val="center"/>
              <w:divId w:val="206713896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255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BA814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143 fewer per 1,000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(from 215 fewer to 27 more)</w:t>
            </w:r>
          </w:p>
        </w:tc>
      </w:tr>
      <w:tr w:rsidR="00000000" w14:paraId="59C5654E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846FE5" w14:textId="77777777" w:rsidR="00000000" w:rsidRDefault="00282D3D">
            <w:pPr>
              <w:divId w:val="1911571932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Mortality</w:t>
            </w:r>
          </w:p>
        </w:tc>
      </w:tr>
      <w:tr w:rsidR="00000000" w14:paraId="57B99F2F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C3542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3E93D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78ED7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CB76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4349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B240F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31370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D8E2C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2/34 (5.9%)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409B2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2/32 (6.3%)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D818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block"/>
                <w:rFonts w:ascii="Verdana" w:eastAsia="Times New Roman" w:hAnsi="Verdana"/>
                <w:b/>
                <w:bCs/>
                <w:sz w:val="16"/>
                <w:szCs w:val="16"/>
              </w:rPr>
              <w:t>OR 1.11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(0.15 to 8.09)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2CFCE" w14:textId="77777777" w:rsidR="00000000" w:rsidRDefault="00282D3D">
            <w:pPr>
              <w:jc w:val="center"/>
              <w:divId w:val="657223674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59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B0FCB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6 more per 1,000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(from 50 fewer to 277 more)</w:t>
            </w:r>
          </w:p>
        </w:tc>
      </w:tr>
      <w:tr w:rsidR="00000000" w14:paraId="72990B2C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71CB003" w14:textId="77777777" w:rsidR="00000000" w:rsidRDefault="00282D3D">
            <w:pPr>
              <w:divId w:val="2088266921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Hospital Length of Stay (days)</w:t>
            </w:r>
          </w:p>
        </w:tc>
      </w:tr>
      <w:tr w:rsidR="00000000" w14:paraId="06BEE271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E9E01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261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(3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0727F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5156E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E5A4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A5C4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CF3E0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772D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AB0F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171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B485E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90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30CB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08BEE" w14:textId="77777777" w:rsidR="00000000" w:rsidRDefault="00282D3D">
            <w:pPr>
              <w:jc w:val="center"/>
              <w:divId w:val="51638745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The mean hospital Length of Stay (days) was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4D512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MD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9.12 lower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(30.14 lower to 11.9 higher</w:t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)</w:t>
            </w:r>
          </w:p>
        </w:tc>
      </w:tr>
      <w:tr w:rsidR="00000000" w14:paraId="33342700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C6CA" w14:textId="77777777" w:rsidR="00000000" w:rsidRDefault="00282D3D">
            <w:pPr>
              <w:divId w:val="1222903065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Ventilator Days</w:t>
            </w:r>
          </w:p>
        </w:tc>
      </w:tr>
      <w:tr w:rsidR="00000000" w14:paraId="03DED305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E8E3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94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(3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B4E05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CCB8B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95009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0607C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2339D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2DB36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083E6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143A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47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1D0B5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8F37" w14:textId="77777777" w:rsidR="00000000" w:rsidRDefault="00282D3D">
            <w:pPr>
              <w:jc w:val="center"/>
              <w:divId w:val="67426511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The mean ventilator Days was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2F431" w14:textId="77777777" w:rsidR="00000000" w:rsidRDefault="00282D3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MD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6.97 lower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(16.59 lower to 2.65 higher</w:t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)</w:t>
            </w:r>
          </w:p>
        </w:tc>
      </w:tr>
    </w:tbl>
    <w:p w14:paraId="16522AC7" w14:textId="77777777" w:rsidR="00000000" w:rsidRDefault="00282D3D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MD: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mean difference;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OR: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odds ratio</w:t>
      </w:r>
    </w:p>
    <w:p w14:paraId="693FE477" w14:textId="77777777" w:rsidR="00000000" w:rsidRDefault="00282D3D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532C90B5" w14:textId="77777777" w:rsidR="00000000" w:rsidRDefault="00282D3D">
      <w:pPr>
        <w:divId w:val="1025518549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Poor standardization of the non-epidural pain regimen</w:t>
      </w:r>
    </w:p>
    <w:p w14:paraId="6FB843AC" w14:textId="77777777" w:rsidR="00000000" w:rsidRDefault="00282D3D">
      <w:pPr>
        <w:divId w:val="830296652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b. </w:t>
      </w:r>
      <w:r>
        <w:rPr>
          <w:rFonts w:ascii="Verdana" w:eastAsia="Times New Roman" w:hAnsi="Verdana"/>
          <w:color w:val="000000"/>
          <w:sz w:val="16"/>
          <w:szCs w:val="16"/>
          <w:lang w:val="en"/>
        </w:rPr>
        <w:t>High levels of heterogeneity between studies</w:t>
      </w:r>
    </w:p>
    <w:p w14:paraId="0B09081C" w14:textId="77777777" w:rsidR="00282D3D" w:rsidRDefault="00282D3D">
      <w:pPr>
        <w:divId w:val="1610382987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c. Age is significantly younger than the population in the PICO question</w:t>
      </w:r>
    </w:p>
    <w:sectPr w:rsidR="00282D3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4F2"/>
    <w:rsid w:val="00282D3D"/>
    <w:rsid w:val="00376A12"/>
    <w:rsid w:val="007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38B6C"/>
  <w15:docId w15:val="{3959067C-FB22-C546-9212-2CCDEB4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</w:rPr>
  </w:style>
  <w:style w:type="paragraph" w:customStyle="1" w:styleId="title">
    <w:name w:val="title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6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Mukherjee, Kaushik</cp:lastModifiedBy>
  <cp:revision>2</cp:revision>
  <dcterms:created xsi:type="dcterms:W3CDTF">2022-10-06T21:03:00Z</dcterms:created>
  <dcterms:modified xsi:type="dcterms:W3CDTF">2022-10-06T21:03:00Z</dcterms:modified>
</cp:coreProperties>
</file>