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65"/>
        <w:gridCol w:w="605"/>
        <w:gridCol w:w="1087"/>
        <w:gridCol w:w="999"/>
        <w:gridCol w:w="961"/>
        <w:gridCol w:w="910"/>
        <w:gridCol w:w="769"/>
        <w:gridCol w:w="1032"/>
        <w:gridCol w:w="962"/>
        <w:gridCol w:w="716"/>
        <w:gridCol w:w="1032"/>
        <w:gridCol w:w="962"/>
      </w:tblGrid>
      <w:tr w:rsidR="00000000" w14:paraId="751DB13C" w14:textId="77777777">
        <w:trPr>
          <w:cantSplit/>
          <w:tblHeader/>
        </w:trPr>
        <w:tc>
          <w:tcPr>
            <w:tcW w:w="0" w:type="auto"/>
            <w:gridSpan w:val="12"/>
            <w:hideMark/>
          </w:tcPr>
          <w:p w14:paraId="4D17B450" w14:textId="3E1679C5" w:rsidR="00000000" w:rsidRDefault="00865C5E">
            <w:pPr>
              <w:pStyle w:val="title"/>
              <w:spacing w:before="0" w:beforeAutospacing="0" w:after="0" w:afterAutospacing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PICO #3. </w:t>
            </w:r>
            <w:bookmarkStart w:id="0" w:name="_GoBack"/>
            <w:bookmarkEnd w:id="0"/>
            <w:r w:rsidR="00754B52">
              <w:rPr>
                <w:rFonts w:ascii="Verdana" w:hAnsi="Verdana"/>
                <w:b/>
                <w:bCs/>
              </w:rPr>
              <w:t>Noninvasive positive pressure ventilation compared to endotracheal intubation and positive pressure ventilation for adults age &gt;65 years old with rib fractures and acute hypoxic respiratory failure refractory to nasal cannula and face mask</w:t>
            </w:r>
          </w:p>
          <w:p w14:paraId="216D31D6" w14:textId="77777777" w:rsidR="00000000" w:rsidRDefault="00754B52">
            <w:pPr>
              <w:divId w:val="1604071956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Bibliography:</w:t>
            </w: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00000" w14:paraId="338E8AA4" w14:textId="77777777">
        <w:trPr>
          <w:cantSplit/>
          <w:tblHeader/>
        </w:trPr>
        <w:tc>
          <w:tcPr>
            <w:tcW w:w="400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0F254A7A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Certainty assessment</w:t>
            </w:r>
          </w:p>
        </w:tc>
        <w:tc>
          <w:tcPr>
            <w:tcW w:w="0" w:type="auto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4A6F194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Summary of findings</w:t>
            </w:r>
          </w:p>
        </w:tc>
      </w:tr>
      <w:tr w:rsidR="00000000" w14:paraId="75807F6D" w14:textId="77777777">
        <w:trPr>
          <w:cantSplit/>
        </w:trPr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E69812D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Participants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(studies)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Follow-up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308DA61E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Risk of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452A8FA9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Inconsistency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0CD61A2B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Indirectness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0CB699F3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Imprecision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543CA6D7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Publication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35D95C59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Overall certainty of evidence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EB89ECB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Study event rates (%)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3BB0B121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Relative effect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(95% CI)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048821AC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Anticipated absolute effects</w:t>
            </w:r>
          </w:p>
        </w:tc>
      </w:tr>
      <w:tr w:rsidR="00000000" w14:paraId="5DB6C7D8" w14:textId="77777777">
        <w:trPr>
          <w:cantSplit/>
        </w:trPr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5DA55E6C" w14:textId="77777777" w:rsidR="00000000" w:rsidRDefault="00754B5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2C244FBE" w14:textId="77777777" w:rsidR="00000000" w:rsidRDefault="00754B5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08140531" w14:textId="77777777" w:rsidR="00000000" w:rsidRDefault="00754B5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0317E220" w14:textId="77777777" w:rsidR="00000000" w:rsidRDefault="00754B5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464A9761" w14:textId="77777777" w:rsidR="00000000" w:rsidRDefault="00754B5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69E2F18" w14:textId="77777777" w:rsidR="00000000" w:rsidRDefault="00754B5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D8187CE" w14:textId="77777777" w:rsidR="00000000" w:rsidRDefault="00754B5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1D43CCBE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With endotracheal intubation and positive pressure ventilation 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4D1265DF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With noninvasive positive pressure ventilation 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55DAF57A" w14:textId="77777777" w:rsidR="00000000" w:rsidRDefault="00754B5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4C081E83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Risk with endotracheal intubation and positive pressure ventilation 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E877595" w14:textId="77777777" w:rsidR="00000000" w:rsidRDefault="00754B5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Risk difference with noninvasive positive pressure ventilation </w:t>
            </w:r>
          </w:p>
        </w:tc>
      </w:tr>
      <w:tr w:rsidR="00000000" w14:paraId="2FCD392A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81D86E7" w14:textId="77777777" w:rsidR="00000000" w:rsidRDefault="00754B52">
            <w:pPr>
              <w:divId w:val="1930918728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Pneumonia</w:t>
            </w:r>
          </w:p>
        </w:tc>
      </w:tr>
      <w:tr w:rsidR="00000000" w14:paraId="2768BDB8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6D3A7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112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(2 RCTs)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28DE0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9ACE9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B14A7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4125F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1C032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strong association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71767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⨁⨁⨁⨁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High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9B112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26/54 (48.1%)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AD3AF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7/58 (12.1%)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7B9BC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block"/>
                <w:rFonts w:ascii="Verdana" w:eastAsia="Times New Roman" w:hAnsi="Verdana"/>
                <w:b/>
                <w:bCs/>
                <w:sz w:val="16"/>
                <w:szCs w:val="16"/>
              </w:rPr>
              <w:t>OR 0.15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(0.06 to 0.39)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D6758" w14:textId="77777777" w:rsidR="00000000" w:rsidRDefault="00754B52">
            <w:pPr>
              <w:jc w:val="center"/>
              <w:divId w:val="735204919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481 per 1,000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27329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359 fewer per 1,000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(from 429 fewer to 216 fewer)</w:t>
            </w:r>
          </w:p>
        </w:tc>
      </w:tr>
      <w:tr w:rsidR="00000000" w14:paraId="3CE9572F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842FCCE" w14:textId="77777777" w:rsidR="00000000" w:rsidRDefault="00754B52">
            <w:pPr>
              <w:divId w:val="227544740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Mortality</w:t>
            </w:r>
          </w:p>
        </w:tc>
      </w:tr>
      <w:tr w:rsidR="00000000" w14:paraId="688148B5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272B9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112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(2 RCTs)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81C70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7F0D9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F677C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1D1CC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A391C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strong association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D8AEA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⨁⨁⨁⨁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High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6FF22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9/54 (16.7%)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6C12D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2/58 (3.4%)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D9EB5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block"/>
                <w:rFonts w:ascii="Verdana" w:eastAsia="Times New Roman" w:hAnsi="Verdana"/>
                <w:b/>
                <w:bCs/>
                <w:sz w:val="16"/>
                <w:szCs w:val="16"/>
              </w:rPr>
              <w:t>OR 0.19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(0.04 to 0.86)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E6AE8" w14:textId="77777777" w:rsidR="00000000" w:rsidRDefault="00754B52">
            <w:pPr>
              <w:jc w:val="center"/>
              <w:divId w:val="379983249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167 per 1,000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8285D" w14:textId="77777777" w:rsidR="00000000" w:rsidRDefault="00754B5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130 fewer per 1,000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Fonts w:ascii="Verdana" w:eastAsia="Times New Roman" w:hAnsi="Verdana"/>
                <w:sz w:val="16"/>
                <w:szCs w:val="16"/>
              </w:rPr>
              <w:t>(from 159 fewer to 20 fewer)</w:t>
            </w:r>
          </w:p>
        </w:tc>
      </w:tr>
    </w:tbl>
    <w:p w14:paraId="42CF2830" w14:textId="77777777" w:rsidR="00000000" w:rsidRDefault="00754B5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6"/>
          <w:szCs w:val="16"/>
          <w:lang w:val="en"/>
        </w:rPr>
      </w:pPr>
      <w:r>
        <w:rPr>
          <w:rFonts w:ascii="Verdana" w:hAnsi="Verdana"/>
          <w:b/>
          <w:bCs/>
          <w:color w:val="000000"/>
          <w:sz w:val="16"/>
          <w:szCs w:val="16"/>
          <w:lang w:val="en"/>
        </w:rPr>
        <w:t>CI:</w:t>
      </w:r>
      <w:r>
        <w:rPr>
          <w:rFonts w:ascii="Verdana" w:hAnsi="Verdana"/>
          <w:color w:val="000000"/>
          <w:sz w:val="16"/>
          <w:szCs w:val="16"/>
          <w:lang w:val="en"/>
        </w:rPr>
        <w:t xml:space="preserve"> confidence interval; </w:t>
      </w:r>
      <w:r>
        <w:rPr>
          <w:rFonts w:ascii="Verdana" w:hAnsi="Verdana"/>
          <w:b/>
          <w:bCs/>
          <w:color w:val="000000"/>
          <w:sz w:val="16"/>
          <w:szCs w:val="16"/>
          <w:lang w:val="en"/>
        </w:rPr>
        <w:t>OR:</w:t>
      </w:r>
      <w:r>
        <w:rPr>
          <w:rFonts w:ascii="Verdana" w:hAnsi="Verdana"/>
          <w:color w:val="000000"/>
          <w:sz w:val="16"/>
          <w:szCs w:val="16"/>
          <w:lang w:val="en"/>
        </w:rPr>
        <w:t xml:space="preserve"> odds ratio</w:t>
      </w:r>
    </w:p>
    <w:p w14:paraId="20458A83" w14:textId="77777777" w:rsidR="00000000" w:rsidRDefault="00754B52">
      <w:pPr>
        <w:pStyle w:val="Heading4"/>
        <w:rPr>
          <w:rFonts w:ascii="Verdana" w:eastAsia="Times New Roman" w:hAnsi="Verdana"/>
          <w:color w:val="000000"/>
          <w:lang w:val="en"/>
        </w:rPr>
      </w:pPr>
      <w:r>
        <w:rPr>
          <w:rFonts w:ascii="Verdana" w:eastAsia="Times New Roman" w:hAnsi="Verdana"/>
          <w:color w:val="000000"/>
          <w:lang w:val="en"/>
        </w:rPr>
        <w:t>Explanations</w:t>
      </w:r>
    </w:p>
    <w:p w14:paraId="26DF8B99" w14:textId="77777777" w:rsidR="00754B52" w:rsidRDefault="00754B52">
      <w:pPr>
        <w:divId w:val="337121829"/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t>a. Variations in age and injury severity</w:t>
      </w:r>
    </w:p>
    <w:sectPr w:rsidR="00754B5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1F4"/>
    <w:rsid w:val="006561F4"/>
    <w:rsid w:val="00754B52"/>
    <w:rsid w:val="0086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3CEC44"/>
  <w15:docId w15:val="{3959067C-FB22-C546-9212-2CCDEB4D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</w:rPr>
  </w:style>
  <w:style w:type="paragraph" w:customStyle="1" w:styleId="title">
    <w:name w:val="title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abel">
    <w:name w:val="label"/>
    <w:basedOn w:val="DefaultParagraphFont"/>
  </w:style>
  <w:style w:type="character" w:customStyle="1" w:styleId="quality-sign">
    <w:name w:val="quality-sign"/>
    <w:basedOn w:val="DefaultParagraphFont"/>
  </w:style>
  <w:style w:type="character" w:customStyle="1" w:styleId="quality-text">
    <w:name w:val="quality-text"/>
    <w:basedOn w:val="DefaultParagraphFont"/>
  </w:style>
  <w:style w:type="character" w:customStyle="1" w:styleId="cell">
    <w:name w:val="cell"/>
    <w:basedOn w:val="DefaultParagraphFont"/>
  </w:style>
  <w:style w:type="character" w:customStyle="1" w:styleId="block">
    <w:name w:val="block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8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Mukherjee, Kaushik</cp:lastModifiedBy>
  <cp:revision>2</cp:revision>
  <dcterms:created xsi:type="dcterms:W3CDTF">2022-10-06T21:03:00Z</dcterms:created>
  <dcterms:modified xsi:type="dcterms:W3CDTF">2022-10-06T21:03:00Z</dcterms:modified>
</cp:coreProperties>
</file>