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7"/>
        <w:gridCol w:w="649"/>
        <w:gridCol w:w="1091"/>
        <w:gridCol w:w="1003"/>
        <w:gridCol w:w="964"/>
        <w:gridCol w:w="913"/>
        <w:gridCol w:w="794"/>
        <w:gridCol w:w="975"/>
        <w:gridCol w:w="975"/>
        <w:gridCol w:w="719"/>
        <w:gridCol w:w="975"/>
        <w:gridCol w:w="975"/>
      </w:tblGrid>
      <w:tr w:rsidR="00000000" w14:paraId="36FDEEF0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5515B2E9" w14:textId="62282F84" w:rsidR="00000000" w:rsidRDefault="00B56588">
            <w:pPr>
              <w:pStyle w:val="title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PICO #4. </w:t>
            </w:r>
            <w:bookmarkStart w:id="0" w:name="_GoBack"/>
            <w:bookmarkEnd w:id="0"/>
            <w:r w:rsidR="001D4F1C">
              <w:rPr>
                <w:rFonts w:ascii="Verdana" w:hAnsi="Verdana"/>
                <w:b/>
                <w:bCs/>
              </w:rPr>
              <w:t>Ketamine infusion plus structured multi-modal pain therapy per institutional protocol compared to no ketamine infusion but structured multi-modal pain therapy per institutional protocol for adults age &gt;</w:t>
            </w:r>
            <w:r w:rsidR="001D4F1C">
              <w:rPr>
                <w:rFonts w:ascii="Verdana" w:hAnsi="Verdana"/>
                <w:b/>
                <w:bCs/>
              </w:rPr>
              <w:t xml:space="preserve">65 years old with ≥3 rib fractures and dyspnea or refractory pain </w:t>
            </w:r>
          </w:p>
          <w:p w14:paraId="3C7D8902" w14:textId="77777777" w:rsidR="00000000" w:rsidRDefault="001D4F1C">
            <w:pPr>
              <w:divId w:val="134757797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Bibliography: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000" w14:paraId="5219368E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6C44587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2AC2BCC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000000" w14:paraId="26823C09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C4ED2C2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6F828E7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9460A3F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F03F50A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5DC7EE4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6FCA6D9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599D19C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90B3467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DE60805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CCE6EEC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000000" w14:paraId="4C8B3E4D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D45F91D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072B131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B046EC1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419C6AB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BE75ED1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62D69D1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741545D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04E3AAC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no ketamine infusion but structured multi-modal pain therapy per institutional protocol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42D8585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ketamine infusion plus structured multi-modal pain therapy per institutional protocol 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167F92A" w14:textId="77777777" w:rsidR="00000000" w:rsidRDefault="001D4F1C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CCE7C6E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with no ketamine infusion but structured multi-modal pain therapy per institutional protocol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88835F7" w14:textId="77777777" w:rsidR="00000000" w:rsidRDefault="001D4F1C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difference with ketamine infusion plus structured multi-moda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l pain therapy per institutional protocol </w:t>
            </w:r>
          </w:p>
        </w:tc>
      </w:tr>
      <w:tr w:rsidR="00000000" w14:paraId="3B0CF423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4E1F1FB" w14:textId="77777777" w:rsidR="00000000" w:rsidRDefault="001D4F1C">
            <w:pPr>
              <w:divId w:val="1128283748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Pain</w:t>
            </w:r>
          </w:p>
        </w:tc>
      </w:tr>
      <w:tr w:rsidR="00000000" w14:paraId="411DCF17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EC744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F72C4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94CF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3873E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81849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87C49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4FF93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D520A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126D9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04CF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158F6" w14:textId="77777777" w:rsidR="00000000" w:rsidRDefault="001D4F1C">
            <w:pPr>
              <w:jc w:val="center"/>
              <w:divId w:val="1532573501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The mean pain was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8E16" w14:textId="77777777" w:rsidR="00000000" w:rsidRDefault="001D4F1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 xml:space="preserve">MD </w:t>
            </w:r>
            <w:r>
              <w:rPr>
                <w:rStyle w:val="cell-value"/>
                <w:rFonts w:ascii="Verdana" w:eastAsia="Times New Roman" w:hAnsi="Verdana"/>
                <w:b/>
                <w:bCs/>
                <w:sz w:val="16"/>
                <w:szCs w:val="16"/>
              </w:rPr>
              <w:t>0.24 higher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(0.64 lower to 1.12 higher</w:t>
            </w:r>
            <w:r>
              <w:rPr>
                <w:rStyle w:val="cell-value"/>
                <w:rFonts w:ascii="Verdana" w:eastAsia="Times New Roman" w:hAnsi="Verdana"/>
                <w:sz w:val="16"/>
                <w:szCs w:val="16"/>
              </w:rPr>
              <w:t>)</w:t>
            </w:r>
          </w:p>
        </w:tc>
      </w:tr>
    </w:tbl>
    <w:p w14:paraId="2F9E6AD1" w14:textId="77777777" w:rsidR="00000000" w:rsidRDefault="001D4F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MD: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mean difference</w:t>
      </w:r>
    </w:p>
    <w:p w14:paraId="6B749603" w14:textId="77777777" w:rsidR="00000000" w:rsidRDefault="001D4F1C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72ABD2DE" w14:textId="77777777" w:rsidR="00000000" w:rsidRDefault="001D4F1C">
      <w:pPr>
        <w:divId w:val="1881823403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Lack of standardization of pain control regimen in control group</w:t>
      </w:r>
    </w:p>
    <w:p w14:paraId="44C59080" w14:textId="77777777" w:rsidR="001D4F1C" w:rsidRDefault="001D4F1C">
      <w:pPr>
        <w:divId w:val="940382219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b. Elderly patients excluded from one trial</w:t>
      </w:r>
    </w:p>
    <w:sectPr w:rsidR="001D4F1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70"/>
    <w:rsid w:val="001D4F1C"/>
    <w:rsid w:val="006E1370"/>
    <w:rsid w:val="00B5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EA182"/>
  <w15:docId w15:val="{3959067C-FB22-C546-9212-2CCDEB4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</w:rPr>
  </w:style>
  <w:style w:type="paragraph" w:customStyle="1" w:styleId="title">
    <w:name w:val="title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cell-value">
    <w:name w:val="cell-valu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Mukherjee, Kaushik</cp:lastModifiedBy>
  <cp:revision>2</cp:revision>
  <dcterms:created xsi:type="dcterms:W3CDTF">2022-10-06T21:03:00Z</dcterms:created>
  <dcterms:modified xsi:type="dcterms:W3CDTF">2022-10-06T21:03:00Z</dcterms:modified>
</cp:coreProperties>
</file>