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1C35" w14:textId="77777777" w:rsidR="0088522D" w:rsidRPr="00B73036" w:rsidRDefault="0088522D" w:rsidP="0088522D">
      <w:pPr>
        <w:pStyle w:val="Paragraphedeliste"/>
        <w:spacing w:before="240" w:after="240" w:line="480" w:lineRule="auto"/>
        <w:ind w:left="360"/>
        <w:jc w:val="both"/>
        <w:rPr>
          <w:rFonts w:eastAsia="Times New Roman" w:cstheme="minorHAnsi"/>
          <w:b/>
          <w:sz w:val="24"/>
          <w:szCs w:val="24"/>
          <w:lang w:val="en-US"/>
        </w:rPr>
      </w:pPr>
      <w:r w:rsidRPr="00B73036">
        <w:rPr>
          <w:rFonts w:eastAsia="Times New Roman" w:cstheme="minorHAnsi"/>
          <w:b/>
          <w:sz w:val="24"/>
          <w:szCs w:val="24"/>
          <w:lang w:val="en-US"/>
        </w:rPr>
        <w:t>Supplemental Data</w:t>
      </w:r>
    </w:p>
    <w:p w14:paraId="52C3FB5D" w14:textId="77777777" w:rsidR="0088522D" w:rsidRPr="00B73036" w:rsidRDefault="0088522D" w:rsidP="0088522D">
      <w:pPr>
        <w:pStyle w:val="Paragraphedeliste"/>
        <w:spacing w:before="240" w:after="240" w:line="480" w:lineRule="auto"/>
        <w:ind w:left="360"/>
        <w:jc w:val="both"/>
        <w:rPr>
          <w:rFonts w:eastAsia="Times New Roman" w:cstheme="minorHAnsi"/>
          <w:sz w:val="24"/>
          <w:szCs w:val="24"/>
          <w:lang w:val="en-US"/>
        </w:rPr>
      </w:pPr>
    </w:p>
    <w:p w14:paraId="438EFE05" w14:textId="77777777" w:rsidR="00033A26" w:rsidRPr="00B73036" w:rsidRDefault="00033A26" w:rsidP="0088522D">
      <w:pPr>
        <w:pStyle w:val="Paragraphedeliste"/>
        <w:numPr>
          <w:ilvl w:val="0"/>
          <w:numId w:val="2"/>
        </w:numPr>
        <w:spacing w:before="240" w:after="240" w:line="480" w:lineRule="auto"/>
        <w:jc w:val="both"/>
        <w:rPr>
          <w:rFonts w:eastAsia="Times New Roman" w:cstheme="minorHAnsi"/>
          <w:sz w:val="24"/>
          <w:szCs w:val="24"/>
          <w:lang w:val="en-US"/>
        </w:rPr>
      </w:pPr>
      <w:r w:rsidRPr="00B73036">
        <w:rPr>
          <w:rFonts w:eastAsia="Times New Roman" w:cstheme="minorHAnsi"/>
          <w:sz w:val="24"/>
          <w:szCs w:val="24"/>
          <w:lang w:val="en-US"/>
        </w:rPr>
        <w:t>Methods</w:t>
      </w:r>
      <w:bookmarkStart w:id="0" w:name="_GoBack"/>
      <w:bookmarkEnd w:id="0"/>
    </w:p>
    <w:p w14:paraId="5FB3DA7C" w14:textId="77777777" w:rsidR="00033A26" w:rsidRPr="00B73036" w:rsidRDefault="00D66EB1" w:rsidP="00033A26">
      <w:pPr>
        <w:pStyle w:val="Paragraphedeliste"/>
        <w:numPr>
          <w:ilvl w:val="1"/>
          <w:numId w:val="2"/>
        </w:numPr>
        <w:spacing w:before="240" w:after="240" w:line="480" w:lineRule="auto"/>
        <w:jc w:val="both"/>
        <w:rPr>
          <w:rFonts w:eastAsia="Times New Roman" w:cstheme="minorHAnsi"/>
          <w:sz w:val="24"/>
          <w:szCs w:val="24"/>
          <w:lang w:val="en-US"/>
        </w:rPr>
      </w:pPr>
      <w:proofErr w:type="spellStart"/>
      <w:r w:rsidRPr="00B73036">
        <w:rPr>
          <w:rFonts w:eastAsia="Times New Roman" w:cstheme="minorHAnsi"/>
          <w:sz w:val="24"/>
          <w:szCs w:val="24"/>
          <w:lang w:val="en-US"/>
        </w:rPr>
        <w:t>B</w:t>
      </w:r>
      <w:r w:rsidRPr="00B73036">
        <w:rPr>
          <w:rFonts w:eastAsia="Times New Roman" w:cstheme="minorHAnsi"/>
          <w:bCs/>
          <w:sz w:val="24"/>
          <w:szCs w:val="24"/>
          <w:lang w:val="en-US"/>
        </w:rPr>
        <w:t>usulfan</w:t>
      </w:r>
      <w:proofErr w:type="spellEnd"/>
      <w:r w:rsidRPr="00B73036">
        <w:rPr>
          <w:rFonts w:eastAsia="Times New Roman" w:cstheme="minorHAnsi"/>
          <w:bCs/>
          <w:sz w:val="24"/>
          <w:szCs w:val="24"/>
          <w:lang w:val="en-US"/>
        </w:rPr>
        <w:t xml:space="preserve"> concentration assay</w:t>
      </w:r>
    </w:p>
    <w:p w14:paraId="11D1AAA1" w14:textId="733538F3" w:rsidR="00D66EB1" w:rsidRPr="00B73036" w:rsidRDefault="00D66EB1" w:rsidP="00C833E2">
      <w:pPr>
        <w:spacing w:before="240" w:after="240" w:line="480" w:lineRule="auto"/>
        <w:jc w:val="both"/>
        <w:rPr>
          <w:rFonts w:eastAsia="Times New Roman" w:cstheme="minorHAnsi"/>
          <w:sz w:val="24"/>
          <w:szCs w:val="24"/>
          <w:lang w:val="en-US"/>
        </w:rPr>
      </w:pPr>
      <w:r w:rsidRPr="00B73036">
        <w:rPr>
          <w:rFonts w:eastAsia="Times New Roman" w:cstheme="minorHAnsi"/>
          <w:sz w:val="24"/>
          <w:szCs w:val="24"/>
          <w:lang w:val="en-US"/>
        </w:rPr>
        <w:t xml:space="preserve">Plasma </w:t>
      </w:r>
      <w:proofErr w:type="spellStart"/>
      <w:r w:rsidRPr="00B73036">
        <w:rPr>
          <w:rFonts w:eastAsia="Times New Roman" w:cstheme="minorHAnsi"/>
          <w:sz w:val="24"/>
          <w:szCs w:val="24"/>
          <w:lang w:val="en-US"/>
        </w:rPr>
        <w:t>busulfan</w:t>
      </w:r>
      <w:proofErr w:type="spellEnd"/>
      <w:r w:rsidRPr="00B73036">
        <w:rPr>
          <w:rFonts w:eastAsia="Times New Roman" w:cstheme="minorHAnsi"/>
          <w:sz w:val="24"/>
          <w:szCs w:val="24"/>
          <w:lang w:val="en-US"/>
        </w:rPr>
        <w:t xml:space="preserve"> </w:t>
      </w:r>
      <w:r w:rsidR="001606F1" w:rsidRPr="00B73036">
        <w:rPr>
          <w:rFonts w:eastAsia="Times New Roman" w:cstheme="minorHAnsi"/>
          <w:sz w:val="24"/>
          <w:szCs w:val="24"/>
          <w:lang w:val="en-US"/>
        </w:rPr>
        <w:t xml:space="preserve">(BU) </w:t>
      </w:r>
      <w:r w:rsidRPr="00B73036">
        <w:rPr>
          <w:rFonts w:eastAsia="Times New Roman" w:cstheme="minorHAnsi"/>
          <w:sz w:val="24"/>
          <w:szCs w:val="24"/>
          <w:lang w:val="en-US"/>
        </w:rPr>
        <w:t>concentrations were determined on-site using high-performance liquid chromatography-tandem mass spectrometry (LC-MS/MS</w:t>
      </w:r>
      <w:r w:rsidR="001606F1" w:rsidRPr="00B73036">
        <w:rPr>
          <w:rFonts w:eastAsia="Times New Roman" w:cstheme="minorHAnsi"/>
          <w:sz w:val="24"/>
          <w:szCs w:val="24"/>
          <w:lang w:val="en-US"/>
        </w:rPr>
        <w:t>;</w:t>
      </w:r>
      <w:r w:rsidRPr="00B73036">
        <w:rPr>
          <w:rFonts w:eastAsia="Times New Roman" w:cstheme="minorHAnsi"/>
          <w:sz w:val="24"/>
          <w:szCs w:val="24"/>
          <w:lang w:val="en-US"/>
        </w:rPr>
        <w:t xml:space="preserve"> Agilent 1260</w:t>
      </w:r>
      <w:r w:rsidR="001606F1" w:rsidRPr="00B73036">
        <w:rPr>
          <w:rFonts w:eastAsia="Times New Roman" w:cstheme="minorHAnsi"/>
          <w:sz w:val="24"/>
          <w:szCs w:val="24"/>
          <w:lang w:val="en-US"/>
        </w:rPr>
        <w:t>, Agilent Technologies, CA, USA)</w:t>
      </w:r>
      <w:r w:rsidRPr="00B73036">
        <w:rPr>
          <w:rFonts w:eastAsia="Times New Roman" w:cstheme="minorHAnsi"/>
          <w:sz w:val="24"/>
          <w:szCs w:val="24"/>
          <w:lang w:val="en-US"/>
        </w:rPr>
        <w:t xml:space="preserve"> equipped with Mass spectroscopic analysis </w:t>
      </w:r>
      <w:r w:rsidRPr="00B73036">
        <w:rPr>
          <w:rFonts w:eastAsia="Times New Roman" w:cstheme="minorHAnsi"/>
          <w:iCs/>
          <w:sz w:val="24"/>
          <w:szCs w:val="24"/>
          <w:lang w:val="en-US"/>
        </w:rPr>
        <w:t>u</w:t>
      </w:r>
      <w:r w:rsidRPr="00B73036">
        <w:rPr>
          <w:rFonts w:eastAsia="Times New Roman" w:cstheme="minorHAnsi"/>
          <w:sz w:val="24"/>
          <w:szCs w:val="24"/>
          <w:lang w:val="en-US"/>
        </w:rPr>
        <w:t xml:space="preserve">sing an AB </w:t>
      </w:r>
      <w:proofErr w:type="spellStart"/>
      <w:r w:rsidRPr="00B73036">
        <w:rPr>
          <w:rFonts w:eastAsia="Times New Roman" w:cstheme="minorHAnsi"/>
          <w:sz w:val="24"/>
          <w:szCs w:val="24"/>
          <w:lang w:val="en-US"/>
        </w:rPr>
        <w:t>Sciex</w:t>
      </w:r>
      <w:proofErr w:type="spellEnd"/>
      <w:r w:rsidRPr="00B73036">
        <w:rPr>
          <w:rFonts w:eastAsia="Times New Roman" w:cstheme="minorHAnsi"/>
          <w:sz w:val="24"/>
          <w:szCs w:val="24"/>
          <w:lang w:val="en-US"/>
        </w:rPr>
        <w:t xml:space="preserve"> API 3200 triple quadrupole MS/MS (Applied </w:t>
      </w:r>
      <w:proofErr w:type="spellStart"/>
      <w:r w:rsidRPr="00B73036">
        <w:rPr>
          <w:rFonts w:eastAsia="Times New Roman" w:cstheme="minorHAnsi"/>
          <w:sz w:val="24"/>
          <w:szCs w:val="24"/>
          <w:lang w:val="en-US"/>
        </w:rPr>
        <w:t>Biosystems</w:t>
      </w:r>
      <w:proofErr w:type="spellEnd"/>
      <w:r w:rsidRPr="00B73036">
        <w:rPr>
          <w:rFonts w:eastAsia="Times New Roman" w:cstheme="minorHAnsi"/>
          <w:sz w:val="24"/>
          <w:szCs w:val="24"/>
          <w:lang w:val="en-US"/>
        </w:rPr>
        <w:t>, Framingham, M</w:t>
      </w:r>
      <w:r w:rsidR="001606F1" w:rsidRPr="00B73036">
        <w:rPr>
          <w:rFonts w:eastAsia="Times New Roman" w:cstheme="minorHAnsi"/>
          <w:sz w:val="24"/>
          <w:szCs w:val="24"/>
          <w:lang w:val="en-US"/>
        </w:rPr>
        <w:t>A</w:t>
      </w:r>
      <w:r w:rsidRPr="00B73036">
        <w:rPr>
          <w:rFonts w:eastAsia="Times New Roman" w:cstheme="minorHAnsi"/>
          <w:sz w:val="24"/>
          <w:szCs w:val="24"/>
          <w:lang w:val="en-US"/>
        </w:rPr>
        <w:t xml:space="preserve">, USA). </w:t>
      </w:r>
      <w:r w:rsidR="00942498" w:rsidRPr="00B73036">
        <w:rPr>
          <w:rFonts w:eastAsia="Times New Roman" w:cstheme="minorHAnsi"/>
          <w:sz w:val="24"/>
          <w:szCs w:val="24"/>
          <w:u w:val="single"/>
          <w:lang w:val="en-US"/>
        </w:rPr>
        <w:t xml:space="preserve">Twenty </w:t>
      </w:r>
      <w:r w:rsidR="001606F1" w:rsidRPr="00B73036">
        <w:rPr>
          <w:rFonts w:eastAsia="Times New Roman" w:cstheme="minorHAnsi"/>
          <w:sz w:val="24"/>
          <w:szCs w:val="24"/>
          <w:u w:val="single"/>
          <w:lang w:val="en-US"/>
        </w:rPr>
        <w:t>microliters</w:t>
      </w:r>
      <w:r w:rsidR="00942498" w:rsidRPr="00B73036">
        <w:rPr>
          <w:rFonts w:eastAsia="Times New Roman" w:cstheme="minorHAnsi"/>
          <w:sz w:val="24"/>
          <w:szCs w:val="24"/>
          <w:u w:val="single"/>
          <w:lang w:val="en-US"/>
        </w:rPr>
        <w:t xml:space="preserve"> of busulf</w:t>
      </w:r>
      <w:r w:rsidR="00B2722A" w:rsidRPr="00B73036">
        <w:rPr>
          <w:rFonts w:eastAsia="Times New Roman" w:cstheme="minorHAnsi"/>
          <w:sz w:val="24"/>
          <w:szCs w:val="24"/>
          <w:u w:val="single"/>
          <w:lang w:val="en-US"/>
        </w:rPr>
        <w:t>an-d8 (internal standard) were</w:t>
      </w:r>
      <w:r w:rsidR="00942498" w:rsidRPr="00B73036">
        <w:rPr>
          <w:rFonts w:eastAsia="Times New Roman" w:cstheme="minorHAnsi"/>
          <w:sz w:val="24"/>
          <w:szCs w:val="24"/>
          <w:u w:val="single"/>
          <w:lang w:val="en-US"/>
        </w:rPr>
        <w:t xml:space="preserve"> added </w:t>
      </w:r>
      <w:r w:rsidR="001606F1" w:rsidRPr="00B73036">
        <w:rPr>
          <w:rFonts w:eastAsia="Times New Roman" w:cstheme="minorHAnsi"/>
          <w:sz w:val="24"/>
          <w:szCs w:val="24"/>
          <w:u w:val="single"/>
          <w:lang w:val="en-US"/>
        </w:rPr>
        <w:t>in</w:t>
      </w:r>
      <w:r w:rsidR="00942498" w:rsidRPr="00B73036">
        <w:rPr>
          <w:rFonts w:eastAsia="Times New Roman" w:cstheme="minorHAnsi"/>
          <w:sz w:val="24"/>
          <w:szCs w:val="24"/>
          <w:u w:val="single"/>
          <w:lang w:val="en-US"/>
        </w:rPr>
        <w:t xml:space="preserve">to the </w:t>
      </w:r>
      <w:proofErr w:type="gramStart"/>
      <w:r w:rsidR="00942498" w:rsidRPr="00B73036">
        <w:rPr>
          <w:rFonts w:eastAsia="Times New Roman" w:cstheme="minorHAnsi"/>
          <w:sz w:val="24"/>
          <w:szCs w:val="24"/>
          <w:u w:val="single"/>
          <w:lang w:val="en-US"/>
        </w:rPr>
        <w:t>200 µL</w:t>
      </w:r>
      <w:proofErr w:type="gramEnd"/>
      <w:r w:rsidR="00FF4FCC" w:rsidRPr="00B73036">
        <w:rPr>
          <w:rFonts w:eastAsia="Times New Roman" w:cstheme="minorHAnsi"/>
          <w:sz w:val="24"/>
          <w:szCs w:val="24"/>
          <w:u w:val="single"/>
          <w:lang w:val="en-US"/>
        </w:rPr>
        <w:t xml:space="preserve"> </w:t>
      </w:r>
      <w:r w:rsidR="006E29C0" w:rsidRPr="00B73036">
        <w:rPr>
          <w:rFonts w:eastAsia="Times New Roman" w:cstheme="minorHAnsi"/>
          <w:sz w:val="24"/>
          <w:szCs w:val="24"/>
          <w:u w:val="single"/>
          <w:lang w:val="en-US"/>
        </w:rPr>
        <w:t xml:space="preserve">plasma </w:t>
      </w:r>
      <w:r w:rsidR="00942498" w:rsidRPr="00B73036">
        <w:rPr>
          <w:rFonts w:eastAsia="Times New Roman" w:cstheme="minorHAnsi"/>
          <w:sz w:val="24"/>
          <w:szCs w:val="24"/>
          <w:u w:val="single"/>
          <w:lang w:val="en-US"/>
        </w:rPr>
        <w:t>sample</w:t>
      </w:r>
      <w:r w:rsidR="00942498" w:rsidRPr="00B73036">
        <w:rPr>
          <w:rFonts w:eastAsia="Times New Roman" w:cstheme="minorHAnsi"/>
          <w:sz w:val="24"/>
          <w:szCs w:val="24"/>
          <w:lang w:val="en-US"/>
        </w:rPr>
        <w:t xml:space="preserve">. </w:t>
      </w:r>
      <w:proofErr w:type="spellStart"/>
      <w:r w:rsidRPr="00B73036">
        <w:rPr>
          <w:rFonts w:eastAsia="Times New Roman" w:cstheme="minorHAnsi"/>
          <w:sz w:val="24"/>
          <w:szCs w:val="24"/>
          <w:lang w:val="en-US"/>
        </w:rPr>
        <w:t>Busulfan</w:t>
      </w:r>
      <w:proofErr w:type="spellEnd"/>
      <w:r w:rsidRPr="00B73036">
        <w:rPr>
          <w:rFonts w:eastAsia="Times New Roman" w:cstheme="minorHAnsi"/>
          <w:sz w:val="24"/>
          <w:szCs w:val="24"/>
          <w:lang w:val="en-US"/>
        </w:rPr>
        <w:t xml:space="preserve"> separation was carried out with a BDS </w:t>
      </w:r>
      <w:proofErr w:type="spellStart"/>
      <w:r w:rsidRPr="00B73036">
        <w:rPr>
          <w:rFonts w:eastAsia="Times New Roman" w:cstheme="minorHAnsi"/>
          <w:sz w:val="24"/>
          <w:szCs w:val="24"/>
          <w:lang w:val="en-US"/>
        </w:rPr>
        <w:t>Hypersil</w:t>
      </w:r>
      <w:proofErr w:type="spellEnd"/>
      <w:r w:rsidRPr="00B73036">
        <w:rPr>
          <w:rFonts w:eastAsia="Times New Roman" w:cstheme="minorHAnsi"/>
          <w:sz w:val="24"/>
          <w:szCs w:val="24"/>
          <w:lang w:val="en-US"/>
        </w:rPr>
        <w:t xml:space="preserve"> C8 column (150</w:t>
      </w:r>
      <w:r w:rsidR="00C60619" w:rsidRPr="00B73036">
        <w:rPr>
          <w:rFonts w:eastAsia="Times New Roman" w:cstheme="minorHAnsi"/>
          <w:sz w:val="24"/>
          <w:szCs w:val="24"/>
          <w:lang w:val="en-US"/>
        </w:rPr>
        <w:t xml:space="preserve"> </w:t>
      </w:r>
      <w:r w:rsidRPr="00B73036">
        <w:rPr>
          <w:rFonts w:eastAsia="Times New Roman" w:cstheme="minorHAnsi"/>
          <w:sz w:val="24"/>
          <w:szCs w:val="24"/>
          <w:lang w:val="en-US"/>
        </w:rPr>
        <w:t>×</w:t>
      </w:r>
      <w:r w:rsidR="00C60619" w:rsidRPr="00B73036">
        <w:rPr>
          <w:rFonts w:eastAsia="Times New Roman" w:cstheme="minorHAnsi"/>
          <w:sz w:val="24"/>
          <w:szCs w:val="24"/>
          <w:lang w:val="en-US"/>
        </w:rPr>
        <w:t xml:space="preserve"> </w:t>
      </w:r>
      <w:r w:rsidRPr="00B73036">
        <w:rPr>
          <w:rFonts w:eastAsia="Times New Roman" w:cstheme="minorHAnsi"/>
          <w:sz w:val="24"/>
          <w:szCs w:val="24"/>
          <w:lang w:val="en-US"/>
        </w:rPr>
        <w:t>4.6 mm</w:t>
      </w:r>
      <w:r w:rsidR="001606F1" w:rsidRPr="00B73036">
        <w:rPr>
          <w:rFonts w:eastAsia="Times New Roman" w:cstheme="minorHAnsi"/>
          <w:sz w:val="24"/>
          <w:szCs w:val="24"/>
          <w:lang w:val="en-US"/>
        </w:rPr>
        <w:t>;</w:t>
      </w:r>
      <w:r w:rsidR="001606F1" w:rsidRPr="00B73036">
        <w:rPr>
          <w:lang w:val="en-US"/>
        </w:rPr>
        <w:t xml:space="preserve"> </w:t>
      </w:r>
      <w:proofErr w:type="spellStart"/>
      <w:r w:rsidR="001606F1" w:rsidRPr="00B73036">
        <w:rPr>
          <w:rFonts w:eastAsia="Times New Roman" w:cstheme="minorHAnsi"/>
          <w:sz w:val="24"/>
          <w:szCs w:val="24"/>
          <w:lang w:val="en-US"/>
        </w:rPr>
        <w:t>Thermofisher</w:t>
      </w:r>
      <w:proofErr w:type="spellEnd"/>
      <w:r w:rsidR="001606F1" w:rsidRPr="00B73036">
        <w:rPr>
          <w:rFonts w:eastAsia="Times New Roman" w:cstheme="minorHAnsi"/>
          <w:sz w:val="24"/>
          <w:szCs w:val="24"/>
          <w:lang w:val="en-US"/>
        </w:rPr>
        <w:t xml:space="preserve"> Scientific, Waltham, MA, USA</w:t>
      </w:r>
      <w:r w:rsidRPr="00B73036">
        <w:rPr>
          <w:rFonts w:eastAsia="Times New Roman" w:cstheme="minorHAnsi"/>
          <w:sz w:val="24"/>
          <w:szCs w:val="24"/>
          <w:lang w:val="en-US"/>
        </w:rPr>
        <w:t xml:space="preserve">) under isocratic chromatography conditions </w:t>
      </w:r>
      <w:r w:rsidR="001606F1" w:rsidRPr="00B73036">
        <w:rPr>
          <w:rFonts w:eastAsia="Times New Roman" w:cstheme="minorHAnsi"/>
          <w:sz w:val="24"/>
          <w:szCs w:val="24"/>
          <w:lang w:val="en-US"/>
        </w:rPr>
        <w:t>with</w:t>
      </w:r>
      <w:r w:rsidRPr="00B73036">
        <w:rPr>
          <w:rFonts w:eastAsia="Times New Roman" w:cstheme="minorHAnsi"/>
          <w:sz w:val="24"/>
          <w:szCs w:val="24"/>
          <w:lang w:val="en-US"/>
        </w:rPr>
        <w:t xml:space="preserve"> a 0.5 mL/min flow rate with a mobile phase A</w:t>
      </w:r>
      <w:proofErr w:type="gramStart"/>
      <w:r w:rsidRPr="00B73036">
        <w:rPr>
          <w:rFonts w:eastAsia="Times New Roman" w:cstheme="minorHAnsi"/>
          <w:sz w:val="24"/>
          <w:szCs w:val="24"/>
          <w:lang w:val="en-US"/>
        </w:rPr>
        <w:t>:mobile</w:t>
      </w:r>
      <w:proofErr w:type="gramEnd"/>
      <w:r w:rsidRPr="00B73036">
        <w:rPr>
          <w:rFonts w:eastAsia="Times New Roman" w:cstheme="minorHAnsi"/>
          <w:sz w:val="24"/>
          <w:szCs w:val="24"/>
          <w:lang w:val="en-US"/>
        </w:rPr>
        <w:t xml:space="preserve"> phase B ratio of 60:40. Mobile phase A consisted of 0.1% formic acid in </w:t>
      </w:r>
      <w:r w:rsidR="001606F1" w:rsidRPr="00B73036">
        <w:rPr>
          <w:rFonts w:eastAsia="Times New Roman" w:cstheme="minorHAnsi"/>
          <w:sz w:val="24"/>
          <w:szCs w:val="24"/>
          <w:lang w:val="en-US"/>
        </w:rPr>
        <w:t>0.02</w:t>
      </w:r>
      <w:r w:rsidR="001606F1" w:rsidRPr="00B73036" w:rsidDel="001606F1">
        <w:rPr>
          <w:rFonts w:eastAsia="Times New Roman" w:cstheme="minorHAnsi"/>
          <w:sz w:val="24"/>
          <w:szCs w:val="24"/>
          <w:lang w:val="en-US"/>
        </w:rPr>
        <w:t xml:space="preserve"> </w:t>
      </w:r>
      <w:proofErr w:type="spellStart"/>
      <w:r w:rsidR="001606F1" w:rsidRPr="00B73036">
        <w:rPr>
          <w:rFonts w:eastAsia="Times New Roman" w:cstheme="minorHAnsi"/>
          <w:sz w:val="24"/>
          <w:szCs w:val="24"/>
          <w:lang w:val="en-US"/>
        </w:rPr>
        <w:t>mol</w:t>
      </w:r>
      <w:proofErr w:type="spellEnd"/>
      <w:r w:rsidR="001606F1" w:rsidRPr="00B73036">
        <w:rPr>
          <w:rFonts w:eastAsia="Times New Roman" w:cstheme="minorHAnsi"/>
          <w:sz w:val="24"/>
          <w:szCs w:val="24"/>
          <w:lang w:val="en-US"/>
        </w:rPr>
        <w:t>/L</w:t>
      </w:r>
      <w:r w:rsidR="001606F1" w:rsidRPr="00B73036" w:rsidDel="001606F1">
        <w:rPr>
          <w:rFonts w:eastAsia="Times New Roman" w:cstheme="minorHAnsi"/>
          <w:sz w:val="24"/>
          <w:szCs w:val="24"/>
          <w:lang w:val="en-US"/>
        </w:rPr>
        <w:t xml:space="preserve"> </w:t>
      </w:r>
      <w:r w:rsidRPr="00B73036">
        <w:rPr>
          <w:rFonts w:eastAsia="Times New Roman" w:cstheme="minorHAnsi"/>
          <w:sz w:val="24"/>
          <w:szCs w:val="24"/>
          <w:lang w:val="en-US"/>
        </w:rPr>
        <w:t xml:space="preserve">ammonium acetate; mobile phase B, 0.1% formic acid in acetonitrile. </w:t>
      </w:r>
      <w:r w:rsidR="00731103" w:rsidRPr="00B73036">
        <w:rPr>
          <w:rFonts w:eastAsia="Times New Roman" w:cstheme="minorHAnsi"/>
          <w:sz w:val="24"/>
          <w:szCs w:val="24"/>
          <w:lang w:val="en-US"/>
        </w:rPr>
        <w:t>The limit of quantification was 0.04 µg/</w:t>
      </w:r>
      <w:proofErr w:type="spellStart"/>
      <w:r w:rsidR="00731103" w:rsidRPr="00B73036">
        <w:rPr>
          <w:rFonts w:eastAsia="Times New Roman" w:cstheme="minorHAnsi"/>
          <w:sz w:val="24"/>
          <w:szCs w:val="24"/>
          <w:lang w:val="en-US"/>
        </w:rPr>
        <w:t>mL.</w:t>
      </w:r>
      <w:proofErr w:type="spellEnd"/>
      <w:r w:rsidR="00731103" w:rsidRPr="00B73036">
        <w:rPr>
          <w:rFonts w:eastAsia="Times New Roman" w:cstheme="minorHAnsi"/>
          <w:sz w:val="24"/>
          <w:szCs w:val="24"/>
          <w:lang w:val="en-US"/>
        </w:rPr>
        <w:t xml:space="preserve"> </w:t>
      </w:r>
      <w:r w:rsidRPr="00B73036">
        <w:rPr>
          <w:rFonts w:eastAsia="Times New Roman" w:cstheme="minorHAnsi"/>
          <w:sz w:val="24"/>
          <w:szCs w:val="24"/>
          <w:lang w:val="en-US"/>
        </w:rPr>
        <w:t xml:space="preserve">The coefficient of variation for intraday and </w:t>
      </w:r>
      <w:proofErr w:type="spellStart"/>
      <w:r w:rsidRPr="00B73036">
        <w:rPr>
          <w:rFonts w:eastAsia="Times New Roman" w:cstheme="minorHAnsi"/>
          <w:sz w:val="24"/>
          <w:szCs w:val="24"/>
          <w:lang w:val="en-US"/>
        </w:rPr>
        <w:t>interday</w:t>
      </w:r>
      <w:proofErr w:type="spellEnd"/>
      <w:r w:rsidRPr="00B73036">
        <w:rPr>
          <w:rFonts w:eastAsia="Times New Roman" w:cstheme="minorHAnsi"/>
          <w:sz w:val="24"/>
          <w:szCs w:val="24"/>
          <w:lang w:val="en-US"/>
        </w:rPr>
        <w:t xml:space="preserve"> precision </w:t>
      </w:r>
      <w:r w:rsidR="001606F1" w:rsidRPr="00B73036">
        <w:rPr>
          <w:rFonts w:eastAsia="Times New Roman" w:cstheme="minorHAnsi"/>
          <w:sz w:val="24"/>
          <w:szCs w:val="24"/>
          <w:lang w:val="en-US"/>
        </w:rPr>
        <w:t>was</w:t>
      </w:r>
      <w:r w:rsidRPr="00B73036">
        <w:rPr>
          <w:rFonts w:eastAsia="Times New Roman" w:cstheme="minorHAnsi"/>
          <w:sz w:val="24"/>
          <w:szCs w:val="24"/>
          <w:lang w:val="en-US"/>
        </w:rPr>
        <w:t xml:space="preserve"> </w:t>
      </w:r>
      <w:proofErr w:type="gramStart"/>
      <w:r w:rsidRPr="00B73036">
        <w:rPr>
          <w:rFonts w:eastAsia="Times New Roman" w:cstheme="minorHAnsi"/>
          <w:sz w:val="24"/>
          <w:szCs w:val="24"/>
          <w:lang w:val="en-US"/>
        </w:rPr>
        <w:t xml:space="preserve">between 1.8%–9.7% with accuracy </w:t>
      </w:r>
      <w:r w:rsidR="001606F1" w:rsidRPr="00B73036">
        <w:rPr>
          <w:rFonts w:eastAsia="Times New Roman" w:cstheme="minorHAnsi"/>
          <w:sz w:val="24"/>
          <w:szCs w:val="24"/>
          <w:lang w:val="en-US"/>
        </w:rPr>
        <w:t>of</w:t>
      </w:r>
      <w:r w:rsidRPr="00B73036">
        <w:rPr>
          <w:rFonts w:eastAsia="Times New Roman" w:cstheme="minorHAnsi"/>
          <w:sz w:val="24"/>
          <w:szCs w:val="24"/>
          <w:lang w:val="en-US"/>
        </w:rPr>
        <w:t xml:space="preserve"> 101.8%–104.5% of nominal values for,</w:t>
      </w:r>
      <w:proofErr w:type="gramEnd"/>
      <w:r w:rsidRPr="00B73036">
        <w:rPr>
          <w:rFonts w:eastAsia="Times New Roman" w:cstheme="minorHAnsi"/>
          <w:sz w:val="24"/>
          <w:szCs w:val="24"/>
          <w:lang w:val="en-US"/>
        </w:rPr>
        <w:t xml:space="preserve"> respectively, low (</w:t>
      </w:r>
      <w:r w:rsidR="00942498" w:rsidRPr="00B73036">
        <w:rPr>
          <w:rFonts w:eastAsia="Times New Roman" w:cstheme="minorHAnsi"/>
          <w:sz w:val="24"/>
          <w:szCs w:val="24"/>
          <w:u w:val="single"/>
          <w:lang w:val="en-US"/>
        </w:rPr>
        <w:t>600 ng</w:t>
      </w:r>
      <w:r w:rsidRPr="00B73036">
        <w:rPr>
          <w:rFonts w:eastAsia="Times New Roman" w:cstheme="minorHAnsi"/>
          <w:sz w:val="24"/>
          <w:szCs w:val="24"/>
          <w:lang w:val="en-US"/>
        </w:rPr>
        <w:t>/mL), medium (</w:t>
      </w:r>
      <w:r w:rsidR="00942498" w:rsidRPr="00B73036">
        <w:rPr>
          <w:rFonts w:eastAsia="Times New Roman" w:cstheme="minorHAnsi"/>
          <w:sz w:val="24"/>
          <w:szCs w:val="24"/>
          <w:u w:val="single"/>
          <w:lang w:val="en-US"/>
        </w:rPr>
        <w:t>2700 n</w:t>
      </w:r>
      <w:r w:rsidRPr="00B73036">
        <w:rPr>
          <w:rFonts w:eastAsia="Times New Roman" w:cstheme="minorHAnsi"/>
          <w:sz w:val="24"/>
          <w:szCs w:val="24"/>
          <w:u w:val="single"/>
          <w:lang w:val="en-US"/>
        </w:rPr>
        <w:t>g</w:t>
      </w:r>
      <w:r w:rsidRPr="00B73036">
        <w:rPr>
          <w:rFonts w:eastAsia="Times New Roman" w:cstheme="minorHAnsi"/>
          <w:sz w:val="24"/>
          <w:szCs w:val="24"/>
          <w:lang w:val="en-US"/>
        </w:rPr>
        <w:t>/mL), and high (</w:t>
      </w:r>
      <w:r w:rsidR="00942498" w:rsidRPr="00B73036">
        <w:rPr>
          <w:rFonts w:eastAsia="Times New Roman" w:cstheme="minorHAnsi"/>
          <w:sz w:val="24"/>
          <w:szCs w:val="24"/>
          <w:u w:val="single"/>
          <w:lang w:val="en-US"/>
        </w:rPr>
        <w:t>4800 n</w:t>
      </w:r>
      <w:r w:rsidRPr="00B73036">
        <w:rPr>
          <w:rFonts w:eastAsia="Times New Roman" w:cstheme="minorHAnsi"/>
          <w:sz w:val="24"/>
          <w:szCs w:val="24"/>
          <w:u w:val="single"/>
          <w:lang w:val="en-US"/>
        </w:rPr>
        <w:t>g</w:t>
      </w:r>
      <w:r w:rsidRPr="00B73036">
        <w:rPr>
          <w:rFonts w:eastAsia="Times New Roman" w:cstheme="minorHAnsi"/>
          <w:sz w:val="24"/>
          <w:szCs w:val="24"/>
          <w:lang w:val="en-US"/>
        </w:rPr>
        <w:t>/mL) quality control concentration levels.</w:t>
      </w:r>
    </w:p>
    <w:p w14:paraId="338BA553" w14:textId="77777777" w:rsidR="00D66EB1" w:rsidRPr="00B73036" w:rsidRDefault="00D66EB1" w:rsidP="00A94E32">
      <w:pPr>
        <w:pStyle w:val="Paragraphedeliste"/>
        <w:numPr>
          <w:ilvl w:val="1"/>
          <w:numId w:val="2"/>
        </w:numPr>
        <w:spacing w:before="240" w:after="240" w:line="480" w:lineRule="auto"/>
        <w:jc w:val="both"/>
        <w:rPr>
          <w:rFonts w:eastAsia="Times New Roman" w:cstheme="minorHAnsi"/>
          <w:sz w:val="24"/>
          <w:szCs w:val="24"/>
          <w:lang w:val="en-US"/>
        </w:rPr>
      </w:pPr>
      <w:r w:rsidRPr="00B73036">
        <w:rPr>
          <w:rFonts w:eastAsia="Times New Roman" w:cstheme="minorHAnsi"/>
          <w:bCs/>
          <w:sz w:val="24"/>
          <w:szCs w:val="24"/>
          <w:lang w:val="en-US"/>
        </w:rPr>
        <w:t xml:space="preserve">Genotyping </w:t>
      </w:r>
    </w:p>
    <w:p w14:paraId="0F523BE5" w14:textId="267D4D76" w:rsidR="00D66EB1" w:rsidRPr="00B73036" w:rsidRDefault="00D66EB1" w:rsidP="00C833E2">
      <w:pPr>
        <w:spacing w:before="240" w:after="240" w:line="480" w:lineRule="auto"/>
        <w:jc w:val="both"/>
        <w:rPr>
          <w:rFonts w:eastAsia="Times New Roman" w:cstheme="minorHAnsi"/>
          <w:sz w:val="24"/>
          <w:szCs w:val="24"/>
          <w:lang w:val="en-US"/>
        </w:rPr>
      </w:pPr>
      <w:r w:rsidRPr="00B73036">
        <w:rPr>
          <w:rFonts w:eastAsia="Times New Roman" w:cstheme="minorHAnsi"/>
          <w:sz w:val="24"/>
          <w:szCs w:val="24"/>
          <w:lang w:val="en-US"/>
        </w:rPr>
        <w:t xml:space="preserve">The </w:t>
      </w:r>
      <w:r w:rsidRPr="00B73036">
        <w:rPr>
          <w:rFonts w:eastAsia="Times New Roman" w:cstheme="minorHAnsi"/>
          <w:i/>
          <w:iCs/>
          <w:sz w:val="24"/>
          <w:szCs w:val="24"/>
          <w:lang w:val="en-US"/>
        </w:rPr>
        <w:t>GST</w:t>
      </w:r>
      <w:r w:rsidRPr="00B73036">
        <w:rPr>
          <w:rFonts w:eastAsia="Times New Roman" w:cstheme="minorHAnsi"/>
          <w:sz w:val="24"/>
          <w:szCs w:val="24"/>
          <w:lang w:val="en-US"/>
        </w:rPr>
        <w:t xml:space="preserve"> genotyping was performed </w:t>
      </w:r>
      <w:r w:rsidR="001606F1" w:rsidRPr="00B73036">
        <w:rPr>
          <w:rFonts w:eastAsia="Times New Roman" w:cstheme="minorHAnsi"/>
          <w:sz w:val="24"/>
          <w:szCs w:val="24"/>
          <w:lang w:val="en-US"/>
        </w:rPr>
        <w:t>according to a method</w:t>
      </w:r>
      <w:r w:rsidRPr="00B73036">
        <w:rPr>
          <w:rFonts w:eastAsia="Times New Roman" w:cstheme="minorHAnsi"/>
          <w:sz w:val="24"/>
          <w:szCs w:val="24"/>
          <w:lang w:val="en-US"/>
        </w:rPr>
        <w:t xml:space="preserve"> previously described</w:t>
      </w:r>
      <w:r w:rsidR="001606F1" w:rsidRPr="00B73036">
        <w:rPr>
          <w:rFonts w:eastAsia="Times New Roman" w:cstheme="minorHAnsi"/>
          <w:sz w:val="24"/>
          <w:szCs w:val="24"/>
          <w:lang w:val="en-US"/>
        </w:rPr>
        <w:t xml:space="preserve"> by</w:t>
      </w:r>
      <w:r w:rsidR="001606F1" w:rsidRPr="00B73036">
        <w:rPr>
          <w:lang w:val="en-US"/>
        </w:rPr>
        <w:t xml:space="preserve"> </w:t>
      </w:r>
      <w:r w:rsidR="005B7009" w:rsidRPr="00B73036">
        <w:rPr>
          <w:rFonts w:eastAsia="Times New Roman" w:cstheme="minorHAnsi"/>
          <w:sz w:val="24"/>
          <w:szCs w:val="24"/>
          <w:lang w:val="en-US"/>
        </w:rPr>
        <w:t>Nguyen</w:t>
      </w:r>
      <w:r w:rsidRPr="00B73036">
        <w:rPr>
          <w:rFonts w:eastAsia="Times New Roman" w:cstheme="minorHAnsi"/>
          <w:sz w:val="24"/>
          <w:szCs w:val="24"/>
          <w:lang w:val="en-US"/>
        </w:rPr>
        <w:t xml:space="preserve"> </w:t>
      </w:r>
      <w:r w:rsidR="001606F1" w:rsidRPr="00B73036">
        <w:rPr>
          <w:rFonts w:eastAsia="Times New Roman" w:cstheme="minorHAnsi"/>
          <w:sz w:val="24"/>
          <w:szCs w:val="24"/>
          <w:lang w:val="en-US"/>
        </w:rPr>
        <w:t xml:space="preserve">et al. </w:t>
      </w:r>
      <w:r w:rsidRPr="00B73036">
        <w:rPr>
          <w:rFonts w:eastAsia="Times New Roman" w:cstheme="minorHAnsi"/>
          <w:sz w:val="24"/>
          <w:szCs w:val="24"/>
          <w:lang w:val="en-US"/>
        </w:rPr>
        <w:fldChar w:fldCharType="begin"/>
      </w:r>
      <w:r w:rsidR="00A94E32" w:rsidRPr="00B73036">
        <w:rPr>
          <w:rFonts w:eastAsia="Times New Roman" w:cstheme="minorHAnsi"/>
          <w:sz w:val="24"/>
          <w:szCs w:val="24"/>
          <w:lang w:val="en-US"/>
        </w:rPr>
        <w:instrText xml:space="preserve"> ADDIN ZOTERO_ITEM CSL_CITATION {"citationID":"aBdEacEw","properties":{"formattedCitation":"[1]","plainCitation":"[1]","noteIndex":0},"citationItems":[{"id":2978,"uris":["http://zotero.org/users/2949263/items/K5NN44KP"],"itemData":{"id":2978,"type":"article-journal","abstract":"Busulfan is widely used as a chemotherapy treatment before hematopoietic stem-cell transplantation (HSCT). However, the response of busulfan is highly variable and unpredictable, whereby the pharmacogenetic interference of glutathione S-transferase (GST) has strong evidence in Caucasians and some adult Asians but not in pediatric Asian patients. This study was aimed at investigating the associations of GST genetic polymorphisms with variations in the pharmacokinetic (PK) properties of busulfan in pediatric Asian patients. This retrospective cohort study recruited 92 pediatric patients. The polymorphism of GSTA1 was genotyped by Sanger sequencing, and GSTM1 and GSTP1 were genotyped by real-time PCR. Drug concentration and PK estimation were identiﬁed using an LC-MS/MS method and a noncompartmental model. Statistical analysis was performed by R software. Out of 92 patients, 48 (53%) were males, the mean age was 8.4 ± 5.12 years old, and the average weight was 26.52 ± 14.75 kg. The allele frequencies of GSTA1*B and of GSTM1 and GSTP1* deletions were 16.9%, 68.5%, and 21.2%, respectively. Patients with GSTA1*B had a statistically signiﬁcant impact on the PK of busulfan, whereas those with GSTM1 and GSTP1 did not (p &gt; 0.05). The carriers of GSTA1*B showed a signiﬁcant difference compared to noncarriers in terms of t1/2 (for ﬁrst dose: 161.9 vs. 134.3 min, p = 0.0016; for second dose: 156.1 vs. 129.8, p = 0.012), CL (88.74 vs. 124.23 mL/min, p = 0.0089), Cmax (4232.6 vs. 3675.5 ng/mL, p = 0.0021), and AUC (5310.6 vs. 4177.1 µM/min, p = 0.00033). The augmentation of AUC was around 27.1% in patients carrying the GSTA1*B variant. The GSTA1 polymorphism was signiﬁcantly associated with variations of the pharmacokinetic properties of busulfan treatment in pediatric Asian patients.","container-title":"Pharmaceutics","DOI":"10.3390/pharmaceutics14020401","ISSN":"1999-4923","issue":"2","journalAbbreviation":"Pharmaceutics","language":"en","page":"401","source":"DOI.org (Crossref)","title":"Effect of GSTA1 Variants on Busulfan-Based Conditioning Regimen Prior to Allogenic Hematopoietic Stem-Cell Transplantation in Pediatric Asians","volume":"14","author":[{"family":"Nguyen","given":"Ai-Hoc"},{"family":"Biswas","given":"Mohitosh"},{"family":"Puangpetch","given":"Apichaya"},{"family":"Prommas","given":"Santirhat"},{"family":"Pakakasama","given":"Samart"},{"family":"Anurathapan","given":"Usanarat"},{"family":"Rachanakul","given":"Jiratha"},{"family":"Sukprasong","given":"Rattanaporn"},{"family":"Nuntharadtanaphong","given":"Nutthan"},{"family":"Jongjitsook","given":"Nutcha"},{"family":"Hongeng","given":"Suradej"},{"family":"Sukasem","given":"Chonlaphat"}],"issued":{"date-parts":[["2022",2,11]]}}}],"schema":"https://github.com/citation-style-language/schema/raw/master/csl-citation.json"} </w:instrText>
      </w:r>
      <w:r w:rsidRPr="00B73036">
        <w:rPr>
          <w:rFonts w:eastAsia="Times New Roman" w:cstheme="minorHAnsi"/>
          <w:sz w:val="24"/>
          <w:szCs w:val="24"/>
          <w:lang w:val="en-US"/>
        </w:rPr>
        <w:fldChar w:fldCharType="separate"/>
      </w:r>
      <w:r w:rsidR="00A94E32" w:rsidRPr="00B73036">
        <w:rPr>
          <w:rFonts w:cstheme="minorHAnsi"/>
          <w:sz w:val="24"/>
          <w:szCs w:val="24"/>
          <w:lang w:val="en-US"/>
        </w:rPr>
        <w:t>[1]</w:t>
      </w:r>
      <w:r w:rsidRPr="00B73036">
        <w:rPr>
          <w:rFonts w:eastAsia="Times New Roman" w:cstheme="minorHAnsi"/>
          <w:sz w:val="24"/>
          <w:szCs w:val="24"/>
          <w:lang w:val="en-US"/>
        </w:rPr>
        <w:fldChar w:fldCharType="end"/>
      </w:r>
      <w:r w:rsidRPr="00B73036">
        <w:rPr>
          <w:rFonts w:eastAsia="Times New Roman" w:cstheme="minorHAnsi"/>
          <w:sz w:val="24"/>
          <w:szCs w:val="24"/>
          <w:lang w:val="en-US"/>
        </w:rPr>
        <w:t xml:space="preserve">. The </w:t>
      </w:r>
      <w:r w:rsidRPr="00B73036">
        <w:rPr>
          <w:rFonts w:eastAsia="Times New Roman" w:cstheme="minorHAnsi"/>
          <w:i/>
          <w:iCs/>
          <w:sz w:val="24"/>
          <w:szCs w:val="24"/>
          <w:lang w:val="en-US"/>
        </w:rPr>
        <w:t>GST</w:t>
      </w:r>
      <w:r w:rsidRPr="00B73036">
        <w:rPr>
          <w:rFonts w:eastAsia="Times New Roman" w:cstheme="minorHAnsi"/>
          <w:sz w:val="24"/>
          <w:szCs w:val="24"/>
          <w:lang w:val="en-US"/>
        </w:rPr>
        <w:t xml:space="preserve"> genotypes investigated included </w:t>
      </w:r>
      <w:r w:rsidR="001606F1" w:rsidRPr="00B73036">
        <w:rPr>
          <w:rFonts w:eastAsia="Times New Roman" w:cstheme="minorHAnsi"/>
          <w:i/>
          <w:iCs/>
          <w:sz w:val="24"/>
          <w:szCs w:val="24"/>
          <w:u w:val="single"/>
          <w:lang w:val="en-US"/>
        </w:rPr>
        <w:t xml:space="preserve">glutathione S-transferase alpha </w:t>
      </w:r>
      <w:proofErr w:type="gramStart"/>
      <w:r w:rsidR="001606F1" w:rsidRPr="00B73036">
        <w:rPr>
          <w:rFonts w:eastAsia="Times New Roman" w:cstheme="minorHAnsi"/>
          <w:i/>
          <w:iCs/>
          <w:sz w:val="24"/>
          <w:szCs w:val="24"/>
          <w:u w:val="single"/>
          <w:lang w:val="en-US"/>
        </w:rPr>
        <w:t>1</w:t>
      </w:r>
      <w:proofErr w:type="gramEnd"/>
      <w:r w:rsidR="001606F1" w:rsidRPr="00B73036">
        <w:rPr>
          <w:rFonts w:eastAsia="Times New Roman" w:cstheme="minorHAnsi"/>
          <w:sz w:val="24"/>
          <w:szCs w:val="24"/>
          <w:u w:val="single"/>
          <w:lang w:val="en-US"/>
        </w:rPr>
        <w:t xml:space="preserve"> (</w:t>
      </w:r>
      <w:r w:rsidRPr="00B73036">
        <w:rPr>
          <w:rFonts w:eastAsia="Times New Roman" w:cstheme="minorHAnsi"/>
          <w:i/>
          <w:iCs/>
          <w:sz w:val="24"/>
          <w:szCs w:val="24"/>
          <w:lang w:val="en-US"/>
        </w:rPr>
        <w:t>GSTA1</w:t>
      </w:r>
      <w:r w:rsidR="00AA2B87" w:rsidRPr="00B73036">
        <w:rPr>
          <w:rFonts w:eastAsia="Times New Roman" w:cstheme="minorHAnsi"/>
          <w:i/>
          <w:iCs/>
          <w:sz w:val="24"/>
          <w:szCs w:val="24"/>
          <w:lang w:val="en-US"/>
        </w:rPr>
        <w:t>)</w:t>
      </w:r>
      <w:r w:rsidRPr="00B73036">
        <w:rPr>
          <w:rFonts w:eastAsia="Times New Roman" w:cstheme="minorHAnsi"/>
          <w:sz w:val="24"/>
          <w:szCs w:val="24"/>
          <w:lang w:val="en-US"/>
        </w:rPr>
        <w:t xml:space="preserve"> alleles (rs3957356, G-52A and rs3957357, C-69T, defining haplotypes -52G, -69C as </w:t>
      </w:r>
      <w:r w:rsidRPr="00B73036">
        <w:rPr>
          <w:rFonts w:eastAsia="Times New Roman" w:cstheme="minorHAnsi"/>
          <w:i/>
          <w:iCs/>
          <w:sz w:val="24"/>
          <w:szCs w:val="24"/>
          <w:lang w:val="en-US"/>
        </w:rPr>
        <w:t>GSTA1*A</w:t>
      </w:r>
      <w:r w:rsidRPr="00B73036">
        <w:rPr>
          <w:rFonts w:eastAsia="Times New Roman" w:cstheme="minorHAnsi"/>
          <w:sz w:val="24"/>
          <w:szCs w:val="24"/>
          <w:lang w:val="en-US"/>
        </w:rPr>
        <w:t xml:space="preserve"> and -52A, -69T as </w:t>
      </w:r>
      <w:r w:rsidRPr="00B73036">
        <w:rPr>
          <w:rFonts w:eastAsia="Times New Roman" w:cstheme="minorHAnsi"/>
          <w:i/>
          <w:iCs/>
          <w:sz w:val="24"/>
          <w:szCs w:val="24"/>
          <w:lang w:val="en-US"/>
        </w:rPr>
        <w:t>GSTA1*B</w:t>
      </w:r>
      <w:r w:rsidRPr="00B73036">
        <w:rPr>
          <w:rFonts w:eastAsia="Times New Roman" w:cstheme="minorHAnsi"/>
          <w:sz w:val="24"/>
          <w:szCs w:val="24"/>
          <w:lang w:val="en-US"/>
        </w:rPr>
        <w:t xml:space="preserve">), </w:t>
      </w:r>
      <w:r w:rsidRPr="00B73036">
        <w:rPr>
          <w:rFonts w:eastAsia="Times New Roman" w:cstheme="minorHAnsi"/>
          <w:i/>
          <w:iCs/>
          <w:sz w:val="24"/>
          <w:szCs w:val="24"/>
          <w:lang w:val="en-US"/>
        </w:rPr>
        <w:t>GSTM1</w:t>
      </w:r>
      <w:r w:rsidRPr="00B73036">
        <w:rPr>
          <w:rFonts w:eastAsia="Times New Roman" w:cstheme="minorHAnsi"/>
          <w:sz w:val="24"/>
          <w:szCs w:val="24"/>
          <w:lang w:val="en-US"/>
        </w:rPr>
        <w:t xml:space="preserve"> copy number variations and </w:t>
      </w:r>
      <w:r w:rsidRPr="00B73036">
        <w:rPr>
          <w:rFonts w:eastAsia="Times New Roman" w:cstheme="minorHAnsi"/>
          <w:i/>
          <w:iCs/>
          <w:sz w:val="24"/>
          <w:szCs w:val="24"/>
          <w:lang w:val="en-US"/>
        </w:rPr>
        <w:t>GSTP1</w:t>
      </w:r>
      <w:r w:rsidRPr="00B73036">
        <w:rPr>
          <w:rFonts w:eastAsia="Times New Roman" w:cstheme="minorHAnsi"/>
          <w:sz w:val="24"/>
          <w:szCs w:val="24"/>
          <w:lang w:val="en-US"/>
        </w:rPr>
        <w:t xml:space="preserve"> A313G polymorphism </w:t>
      </w:r>
      <w:r w:rsidRPr="00B73036">
        <w:rPr>
          <w:rFonts w:eastAsia="Times New Roman" w:cstheme="minorHAnsi"/>
          <w:sz w:val="24"/>
          <w:szCs w:val="24"/>
          <w:lang w:val="en-US"/>
        </w:rPr>
        <w:lastRenderedPageBreak/>
        <w:t xml:space="preserve">(rs1695). The </w:t>
      </w:r>
      <w:r w:rsidRPr="00B73036">
        <w:rPr>
          <w:rFonts w:eastAsia="Times New Roman" w:cstheme="minorHAnsi"/>
          <w:i/>
          <w:iCs/>
          <w:sz w:val="24"/>
          <w:szCs w:val="24"/>
          <w:lang w:val="en-US"/>
        </w:rPr>
        <w:t>GSTM1</w:t>
      </w:r>
      <w:r w:rsidRPr="00B73036">
        <w:rPr>
          <w:rFonts w:eastAsia="Times New Roman" w:cstheme="minorHAnsi"/>
          <w:sz w:val="24"/>
          <w:szCs w:val="24"/>
          <w:lang w:val="en-US"/>
        </w:rPr>
        <w:t xml:space="preserve"> and </w:t>
      </w:r>
      <w:r w:rsidRPr="00B73036">
        <w:rPr>
          <w:rFonts w:eastAsia="Times New Roman" w:cstheme="minorHAnsi"/>
          <w:i/>
          <w:iCs/>
          <w:sz w:val="24"/>
          <w:szCs w:val="24"/>
          <w:lang w:val="en-US"/>
        </w:rPr>
        <w:t>GSTP1</w:t>
      </w:r>
      <w:r w:rsidRPr="00B73036">
        <w:rPr>
          <w:rFonts w:eastAsia="Times New Roman" w:cstheme="minorHAnsi"/>
          <w:sz w:val="24"/>
          <w:szCs w:val="24"/>
          <w:lang w:val="en-US"/>
        </w:rPr>
        <w:t xml:space="preserve"> genes were amplified by a </w:t>
      </w:r>
      <w:proofErr w:type="spellStart"/>
      <w:r w:rsidRPr="00B73036">
        <w:rPr>
          <w:rFonts w:eastAsia="Times New Roman" w:cstheme="minorHAnsi"/>
          <w:sz w:val="24"/>
          <w:szCs w:val="24"/>
          <w:lang w:val="en-US"/>
        </w:rPr>
        <w:t>TaqMan</w:t>
      </w:r>
      <w:proofErr w:type="spellEnd"/>
      <w:r w:rsidRPr="00B73036">
        <w:rPr>
          <w:rFonts w:eastAsia="Times New Roman" w:cstheme="minorHAnsi"/>
          <w:sz w:val="24"/>
          <w:szCs w:val="24"/>
          <w:lang w:val="en-US"/>
        </w:rPr>
        <w:t xml:space="preserve"> genotyping assay (Applied </w:t>
      </w:r>
      <w:proofErr w:type="spellStart"/>
      <w:r w:rsidRPr="00B73036">
        <w:rPr>
          <w:rFonts w:eastAsia="Times New Roman" w:cstheme="minorHAnsi"/>
          <w:sz w:val="24"/>
          <w:szCs w:val="24"/>
          <w:lang w:val="en-US"/>
        </w:rPr>
        <w:t>Biosystems</w:t>
      </w:r>
      <w:proofErr w:type="spellEnd"/>
      <w:r w:rsidRPr="00B73036">
        <w:rPr>
          <w:rFonts w:eastAsia="Times New Roman" w:cstheme="minorHAnsi"/>
          <w:sz w:val="24"/>
          <w:szCs w:val="24"/>
          <w:lang w:val="en-US"/>
        </w:rPr>
        <w:t xml:space="preserve">, Waltham, MA, USA), and the </w:t>
      </w:r>
      <w:r w:rsidRPr="00B73036">
        <w:rPr>
          <w:rFonts w:eastAsia="Times New Roman" w:cstheme="minorHAnsi"/>
          <w:i/>
          <w:iCs/>
          <w:sz w:val="24"/>
          <w:szCs w:val="24"/>
          <w:lang w:val="en-US"/>
        </w:rPr>
        <w:t xml:space="preserve">GSTA1 </w:t>
      </w:r>
      <w:r w:rsidRPr="00B73036">
        <w:rPr>
          <w:rFonts w:eastAsia="Times New Roman" w:cstheme="minorHAnsi"/>
          <w:sz w:val="24"/>
          <w:szCs w:val="24"/>
          <w:lang w:val="en-US"/>
        </w:rPr>
        <w:t xml:space="preserve">promoter region explored by Sanger Sequencing (Applied </w:t>
      </w:r>
      <w:proofErr w:type="spellStart"/>
      <w:r w:rsidRPr="00B73036">
        <w:rPr>
          <w:rFonts w:eastAsia="Times New Roman" w:cstheme="minorHAnsi"/>
          <w:sz w:val="24"/>
          <w:szCs w:val="24"/>
          <w:lang w:val="en-US"/>
        </w:rPr>
        <w:t>Biosystems</w:t>
      </w:r>
      <w:proofErr w:type="spellEnd"/>
      <w:r w:rsidR="00172A13" w:rsidRPr="00B73036">
        <w:rPr>
          <w:rFonts w:cs="Arial"/>
          <w:sz w:val="24"/>
          <w:szCs w:val="24"/>
          <w:shd w:val="clear" w:color="auto" w:fill="FFFFFF"/>
          <w:lang w:val="en-US"/>
        </w:rPr>
        <w:t>, Foster City, CA, USA</w:t>
      </w:r>
      <w:r w:rsidRPr="00B73036">
        <w:rPr>
          <w:rFonts w:eastAsia="Times New Roman" w:cstheme="minorHAnsi"/>
          <w:sz w:val="24"/>
          <w:szCs w:val="24"/>
          <w:lang w:val="en-US"/>
        </w:rPr>
        <w:t xml:space="preserve">) as a genotyping service (U2Bio, Bangkok, Thailand). </w:t>
      </w:r>
    </w:p>
    <w:p w14:paraId="60D07264" w14:textId="77777777" w:rsidR="00D66EB1" w:rsidRPr="00B73036" w:rsidRDefault="00D66EB1" w:rsidP="00A94E32">
      <w:pPr>
        <w:pStyle w:val="Paragraphedeliste"/>
        <w:numPr>
          <w:ilvl w:val="1"/>
          <w:numId w:val="2"/>
        </w:numPr>
        <w:spacing w:before="240" w:after="240" w:line="480" w:lineRule="auto"/>
        <w:jc w:val="both"/>
        <w:rPr>
          <w:rFonts w:eastAsia="Times New Roman" w:cstheme="minorHAnsi"/>
          <w:sz w:val="24"/>
          <w:szCs w:val="24"/>
          <w:lang w:val="en-US"/>
        </w:rPr>
      </w:pPr>
      <w:r w:rsidRPr="00B73036">
        <w:rPr>
          <w:rFonts w:eastAsia="Times New Roman" w:cstheme="minorHAnsi"/>
          <w:bCs/>
          <w:sz w:val="24"/>
          <w:szCs w:val="24"/>
          <w:lang w:val="en-US"/>
        </w:rPr>
        <w:t>Base population model development</w:t>
      </w:r>
    </w:p>
    <w:p w14:paraId="37C15AFE" w14:textId="264E809B" w:rsidR="00D66EB1" w:rsidRPr="00B73036" w:rsidRDefault="00033A26" w:rsidP="00CD5E1D">
      <w:pPr>
        <w:pStyle w:val="Paragraphedeliste"/>
        <w:numPr>
          <w:ilvl w:val="0"/>
          <w:numId w:val="2"/>
        </w:numPr>
        <w:spacing w:line="480" w:lineRule="auto"/>
        <w:jc w:val="both"/>
        <w:rPr>
          <w:rFonts w:eastAsia="Times New Roman" w:cstheme="minorHAnsi"/>
          <w:sz w:val="24"/>
          <w:szCs w:val="24"/>
          <w:lang w:val="en-US"/>
        </w:rPr>
      </w:pPr>
      <w:r w:rsidRPr="00B73036">
        <w:rPr>
          <w:rFonts w:eastAsia="Times New Roman" w:cstheme="minorHAnsi"/>
          <w:sz w:val="24"/>
          <w:szCs w:val="24"/>
          <w:lang w:val="en-US"/>
        </w:rPr>
        <w:t>Parameters were estimated with the first order conditional estimation and interaction (FOCE-I) algorithm using NONMEM 7.4 (ICON Development Solutions, Ellicott City, MD, USA). One</w:t>
      </w:r>
      <w:r w:rsidR="00AA2B87" w:rsidRPr="00B73036">
        <w:rPr>
          <w:rFonts w:eastAsia="Times New Roman" w:cstheme="minorHAnsi"/>
          <w:sz w:val="24"/>
          <w:szCs w:val="24"/>
          <w:lang w:val="en-US"/>
        </w:rPr>
        <w:t>-</w:t>
      </w:r>
      <w:r w:rsidRPr="00B73036">
        <w:rPr>
          <w:rFonts w:eastAsia="Times New Roman" w:cstheme="minorHAnsi"/>
          <w:sz w:val="24"/>
          <w:szCs w:val="24"/>
          <w:lang w:val="en-US"/>
        </w:rPr>
        <w:t xml:space="preserve"> and two-compartment models </w:t>
      </w:r>
      <w:proofErr w:type="gramStart"/>
      <w:r w:rsidRPr="00B73036">
        <w:rPr>
          <w:rFonts w:eastAsia="Times New Roman" w:cstheme="minorHAnsi"/>
          <w:sz w:val="24"/>
          <w:szCs w:val="24"/>
          <w:lang w:val="en-US"/>
        </w:rPr>
        <w:t>were evaluated</w:t>
      </w:r>
      <w:proofErr w:type="gramEnd"/>
      <w:r w:rsidRPr="00B73036">
        <w:rPr>
          <w:rFonts w:eastAsia="Times New Roman" w:cstheme="minorHAnsi"/>
          <w:sz w:val="24"/>
          <w:szCs w:val="24"/>
          <w:lang w:val="en-US"/>
        </w:rPr>
        <w:t xml:space="preserve"> as structural models. </w:t>
      </w:r>
      <w:proofErr w:type="spellStart"/>
      <w:r w:rsidR="00AA2B87" w:rsidRPr="00B73036">
        <w:rPr>
          <w:rFonts w:eastAsia="Times New Roman" w:cstheme="minorHAnsi"/>
          <w:sz w:val="24"/>
          <w:szCs w:val="24"/>
          <w:lang w:val="en-US"/>
        </w:rPr>
        <w:t>Interindividual</w:t>
      </w:r>
      <w:proofErr w:type="spellEnd"/>
      <w:r w:rsidR="00AA2B87" w:rsidRPr="00B73036">
        <w:rPr>
          <w:rFonts w:eastAsia="Times New Roman" w:cstheme="minorHAnsi"/>
          <w:sz w:val="24"/>
          <w:szCs w:val="24"/>
          <w:lang w:val="en-US"/>
        </w:rPr>
        <w:t xml:space="preserve"> variability (</w:t>
      </w:r>
      <w:r w:rsidRPr="00B73036">
        <w:rPr>
          <w:rFonts w:eastAsia="Times New Roman" w:cstheme="minorHAnsi"/>
          <w:sz w:val="24"/>
          <w:szCs w:val="24"/>
          <w:lang w:val="en-US"/>
        </w:rPr>
        <w:t>IIV</w:t>
      </w:r>
      <w:r w:rsidR="00AA2B87" w:rsidRPr="00B73036">
        <w:rPr>
          <w:rFonts w:eastAsia="Times New Roman" w:cstheme="minorHAnsi"/>
          <w:sz w:val="24"/>
          <w:szCs w:val="24"/>
          <w:lang w:val="en-US"/>
        </w:rPr>
        <w:t>)</w:t>
      </w:r>
      <w:r w:rsidRPr="00B73036">
        <w:rPr>
          <w:rFonts w:eastAsia="Times New Roman" w:cstheme="minorHAnsi"/>
          <w:sz w:val="24"/>
          <w:szCs w:val="24"/>
          <w:lang w:val="en-US"/>
        </w:rPr>
        <w:t xml:space="preserve"> and inter-occasion variability (IOV), </w:t>
      </w:r>
      <w:r w:rsidR="00AA2B87" w:rsidRPr="00B73036">
        <w:rPr>
          <w:rFonts w:eastAsia="Times New Roman" w:cstheme="minorHAnsi"/>
          <w:sz w:val="24"/>
          <w:szCs w:val="24"/>
          <w:lang w:val="en-US"/>
        </w:rPr>
        <w:t>occasionally</w:t>
      </w:r>
      <w:r w:rsidRPr="00B73036">
        <w:rPr>
          <w:rFonts w:eastAsia="Times New Roman" w:cstheme="minorHAnsi"/>
          <w:sz w:val="24"/>
          <w:szCs w:val="24"/>
          <w:lang w:val="en-US"/>
        </w:rPr>
        <w:t xml:space="preserve"> defined as a treatment day, </w:t>
      </w:r>
      <w:proofErr w:type="gramStart"/>
      <w:r w:rsidRPr="00B73036">
        <w:rPr>
          <w:rFonts w:eastAsia="Times New Roman" w:cstheme="minorHAnsi"/>
          <w:sz w:val="24"/>
          <w:szCs w:val="24"/>
          <w:lang w:val="en-US"/>
        </w:rPr>
        <w:t>were explored</w:t>
      </w:r>
      <w:proofErr w:type="gramEnd"/>
      <w:r w:rsidRPr="00B73036">
        <w:rPr>
          <w:rFonts w:eastAsia="Times New Roman" w:cstheme="minorHAnsi"/>
          <w:sz w:val="24"/>
          <w:szCs w:val="24"/>
          <w:lang w:val="en-US"/>
        </w:rPr>
        <w:t xml:space="preserve"> using an exponential-error model. Since body size is known to have a strong influence on </w:t>
      </w:r>
      <w:r w:rsidR="00AA2B87" w:rsidRPr="00B73036">
        <w:rPr>
          <w:rFonts w:eastAsia="Times New Roman" w:cstheme="minorHAnsi"/>
          <w:sz w:val="24"/>
          <w:szCs w:val="24"/>
          <w:lang w:val="en-US"/>
        </w:rPr>
        <w:t>clearance</w:t>
      </w:r>
      <w:r w:rsidRPr="00B73036">
        <w:rPr>
          <w:rFonts w:eastAsia="Times New Roman" w:cstheme="minorHAnsi"/>
          <w:sz w:val="24"/>
          <w:szCs w:val="24"/>
          <w:lang w:val="en-US"/>
        </w:rPr>
        <w:t xml:space="preserve"> </w:t>
      </w:r>
      <w:r w:rsidR="00AA2B87" w:rsidRPr="00B73036">
        <w:rPr>
          <w:rFonts w:eastAsia="Times New Roman" w:cstheme="minorHAnsi"/>
          <w:sz w:val="24"/>
          <w:szCs w:val="24"/>
          <w:lang w:val="en-US"/>
        </w:rPr>
        <w:t>(</w:t>
      </w:r>
      <w:r w:rsidRPr="00B73036">
        <w:rPr>
          <w:rFonts w:eastAsia="Times New Roman" w:cstheme="minorHAnsi"/>
          <w:sz w:val="24"/>
          <w:szCs w:val="24"/>
          <w:lang w:val="en-US"/>
        </w:rPr>
        <w:t>CL</w:t>
      </w:r>
      <w:r w:rsidR="00AA2B87" w:rsidRPr="00B73036">
        <w:rPr>
          <w:rFonts w:eastAsia="Times New Roman" w:cstheme="minorHAnsi"/>
          <w:sz w:val="24"/>
          <w:szCs w:val="24"/>
          <w:lang w:val="en-US"/>
        </w:rPr>
        <w:t>)</w:t>
      </w:r>
      <w:r w:rsidRPr="00B73036">
        <w:rPr>
          <w:rFonts w:eastAsia="Times New Roman" w:cstheme="minorHAnsi"/>
          <w:sz w:val="24"/>
          <w:szCs w:val="24"/>
          <w:lang w:val="en-US"/>
        </w:rPr>
        <w:t xml:space="preserve"> and volume </w:t>
      </w:r>
      <w:r w:rsidR="00AA2B87" w:rsidRPr="00B73036">
        <w:rPr>
          <w:rFonts w:eastAsia="Times New Roman" w:cstheme="minorHAnsi"/>
          <w:sz w:val="24"/>
          <w:szCs w:val="24"/>
          <w:lang w:val="en-US"/>
        </w:rPr>
        <w:t xml:space="preserve">(V) </w:t>
      </w:r>
      <w:r w:rsidRPr="00B73036">
        <w:rPr>
          <w:rFonts w:eastAsia="Times New Roman" w:cstheme="minorHAnsi"/>
          <w:sz w:val="24"/>
          <w:szCs w:val="24"/>
          <w:lang w:val="en-US"/>
        </w:rPr>
        <w:t>parameters in pediatrics, several approaches were compared: body weight</w:t>
      </w:r>
      <w:r w:rsidR="00AA2B87" w:rsidRPr="00B73036">
        <w:rPr>
          <w:rFonts w:eastAsia="Times New Roman" w:cstheme="minorHAnsi"/>
          <w:sz w:val="24"/>
          <w:szCs w:val="24"/>
          <w:lang w:val="en-US"/>
        </w:rPr>
        <w:t xml:space="preserve"> (BW)</w:t>
      </w:r>
      <w:r w:rsidRPr="00B73036">
        <w:rPr>
          <w:rFonts w:eastAsia="Times New Roman" w:cstheme="minorHAnsi"/>
          <w:sz w:val="24"/>
          <w:szCs w:val="24"/>
          <w:lang w:val="en-US"/>
        </w:rPr>
        <w:t xml:space="preserve"> with estimated </w:t>
      </w:r>
      <w:proofErr w:type="spellStart"/>
      <w:r w:rsidRPr="00B73036">
        <w:rPr>
          <w:rFonts w:eastAsia="Times New Roman" w:cstheme="minorHAnsi"/>
          <w:sz w:val="24"/>
          <w:szCs w:val="24"/>
          <w:lang w:val="en-US"/>
        </w:rPr>
        <w:t>allometric</w:t>
      </w:r>
      <w:proofErr w:type="spellEnd"/>
      <w:r w:rsidRPr="00B73036">
        <w:rPr>
          <w:rFonts w:eastAsia="Times New Roman" w:cstheme="minorHAnsi"/>
          <w:sz w:val="24"/>
          <w:szCs w:val="24"/>
          <w:lang w:val="en-US"/>
        </w:rPr>
        <w:t xml:space="preserve"> exponent, fat-free mass with constant estimated </w:t>
      </w:r>
      <w:proofErr w:type="spellStart"/>
      <w:r w:rsidRPr="00B73036">
        <w:rPr>
          <w:rFonts w:eastAsia="Times New Roman" w:cstheme="minorHAnsi"/>
          <w:sz w:val="24"/>
          <w:szCs w:val="24"/>
          <w:lang w:val="en-US"/>
        </w:rPr>
        <w:t>allometric</w:t>
      </w:r>
      <w:proofErr w:type="spellEnd"/>
      <w:r w:rsidRPr="00B73036">
        <w:rPr>
          <w:rFonts w:eastAsia="Times New Roman" w:cstheme="minorHAnsi"/>
          <w:sz w:val="24"/>
          <w:szCs w:val="24"/>
          <w:lang w:val="en-US"/>
        </w:rPr>
        <w:t xml:space="preserve"> exponent </w:t>
      </w:r>
      <w:r w:rsidRPr="00B73036">
        <w:rPr>
          <w:rFonts w:eastAsia="Times New Roman" w:cstheme="minorHAnsi"/>
          <w:sz w:val="24"/>
          <w:szCs w:val="24"/>
          <w:lang w:val="en-US"/>
        </w:rPr>
        <w:fldChar w:fldCharType="begin"/>
      </w:r>
      <w:r w:rsidR="00A94E32" w:rsidRPr="00B73036">
        <w:rPr>
          <w:rFonts w:eastAsia="Times New Roman" w:cstheme="minorHAnsi"/>
          <w:sz w:val="24"/>
          <w:szCs w:val="24"/>
          <w:lang w:val="en-US"/>
        </w:rPr>
        <w:instrText xml:space="preserve"> ADDIN ZOTERO_ITEM CSL_CITATION {"citationID":"f9Raom1i","properties":{"formattedCitation":"[2]","plainCitation":"[2]","noteIndex":0},"citationItems":[{"id":2952,"uris":["http://zotero.org/users/2949263/items/CVD2CGXP"],"itemData":{"id":2952,"type":"article-journal","container-title":"CPT: Pharmacometrics &amp; Systems Pharmacology","DOI":"10.1002/psp4.12809","ISSN":"2163-8306, 2163-8306","issue":"8","journalAbbreviation":"CPT Pharmacom &amp; Syst Pharma","language":"en","page":"1002-1017","source":"DOI.org (Crossref)","title":"Population pharmacokinetic model for once‐daily intravenous busulfan in pediatric subjects describing &lt;span style=\"font-variant:small-caps;\"&gt;time‐associated&lt;/span&gt; clearance","title-short":"Population pharmacokinetic model for once‐daily intravenous busulfan in pediatric subjects describing &lt;span style=\"font-variant","volume":"11","author":[{"family":"Lawson","given":"Rachael"},{"family":"Staatz","given":"Christine E."},{"family":"Fraser","given":"Christopher J."},{"family":"Ramachandran","given":"Shanti"},{"family":"Teague","given":"Lochie"},{"family":"Mitchell","given":"Richard"},{"family":"O'Brien","given":"Tracey"},{"family":"Hennig","given":"Stefanie"}],"issued":{"date-parts":[["2022",8]]}}}],"schema":"https://github.com/citation-style-language/schema/raw/master/csl-citation.json"} </w:instrText>
      </w:r>
      <w:r w:rsidRPr="00B73036">
        <w:rPr>
          <w:rFonts w:eastAsia="Times New Roman" w:cstheme="minorHAnsi"/>
          <w:sz w:val="24"/>
          <w:szCs w:val="24"/>
          <w:lang w:val="en-US"/>
        </w:rPr>
        <w:fldChar w:fldCharType="separate"/>
      </w:r>
      <w:r w:rsidR="00A94E32" w:rsidRPr="00B73036">
        <w:rPr>
          <w:rFonts w:cstheme="minorHAnsi"/>
          <w:sz w:val="24"/>
          <w:szCs w:val="24"/>
          <w:lang w:val="en-US"/>
        </w:rPr>
        <w:t>[2]</w:t>
      </w:r>
      <w:r w:rsidRPr="00B73036">
        <w:rPr>
          <w:rFonts w:eastAsia="Times New Roman" w:cstheme="minorHAnsi"/>
          <w:sz w:val="24"/>
          <w:szCs w:val="24"/>
          <w:lang w:val="en-US"/>
        </w:rPr>
        <w:fldChar w:fldCharType="end"/>
      </w:r>
      <w:r w:rsidRPr="00B73036">
        <w:rPr>
          <w:rFonts w:eastAsia="Times New Roman" w:cstheme="minorHAnsi"/>
          <w:sz w:val="24"/>
          <w:szCs w:val="24"/>
          <w:lang w:val="en-US"/>
        </w:rPr>
        <w:t xml:space="preserve">, and </w:t>
      </w:r>
      <w:r w:rsidR="00AA2B87" w:rsidRPr="00B73036">
        <w:rPr>
          <w:rFonts w:eastAsia="Times New Roman" w:cstheme="minorHAnsi"/>
          <w:sz w:val="24"/>
          <w:szCs w:val="24"/>
          <w:lang w:val="en-US"/>
        </w:rPr>
        <w:t>BW</w:t>
      </w:r>
      <w:r w:rsidRPr="00B73036">
        <w:rPr>
          <w:rFonts w:eastAsia="Times New Roman" w:cstheme="minorHAnsi"/>
          <w:sz w:val="24"/>
          <w:szCs w:val="24"/>
          <w:lang w:val="en-US"/>
        </w:rPr>
        <w:t xml:space="preserve"> with body weight-dependent estimated </w:t>
      </w:r>
      <w:proofErr w:type="spellStart"/>
      <w:r w:rsidRPr="00B73036">
        <w:rPr>
          <w:rFonts w:eastAsia="Times New Roman" w:cstheme="minorHAnsi"/>
          <w:sz w:val="24"/>
          <w:szCs w:val="24"/>
          <w:lang w:val="en-US"/>
        </w:rPr>
        <w:t>allometric</w:t>
      </w:r>
      <w:proofErr w:type="spellEnd"/>
      <w:r w:rsidRPr="00B73036">
        <w:rPr>
          <w:rFonts w:eastAsia="Times New Roman" w:cstheme="minorHAnsi"/>
          <w:sz w:val="24"/>
          <w:szCs w:val="24"/>
          <w:lang w:val="en-US"/>
        </w:rPr>
        <w:t xml:space="preserve"> exponents </w:t>
      </w:r>
      <w:r w:rsidRPr="00B73036">
        <w:rPr>
          <w:rFonts w:eastAsia="Times New Roman" w:cstheme="minorHAnsi"/>
          <w:sz w:val="24"/>
          <w:szCs w:val="24"/>
          <w:lang w:val="en-US"/>
        </w:rPr>
        <w:fldChar w:fldCharType="begin"/>
      </w:r>
      <w:r w:rsidR="00A94E32" w:rsidRPr="00B73036">
        <w:rPr>
          <w:rFonts w:eastAsia="Times New Roman" w:cstheme="minorHAnsi"/>
          <w:sz w:val="24"/>
          <w:szCs w:val="24"/>
          <w:lang w:val="en-US"/>
        </w:rPr>
        <w:instrText xml:space="preserve"> ADDIN ZOTERO_ITEM CSL_CITATION {"citationID":"BMDo8qHQ","properties":{"formattedCitation":"[3]","plainCitation":"[3]","noteIndex":0},"citationItems":[{"id":2950,"uris":["http://zotero.org/users/2949263/items/CD7KAAAI"],"itemData":{"id":2950,"type":"article-journal","abstract":"Background: Busulfan (Bu) is the cornerstone of conditioning regimens prior to hematopoietic stem cell transplantation, widely used in both adults and children for the treatment of malignant and nonmalignant diseases. Despite an intravenous formulation, interindividual variability (IIV) remains high and optimal exposure difficult to achieve, especially in neonates and infants.","container-title":"Pediatric Blood &amp; Cancer","DOI":"10.1002/pbc.28603","ISSN":"1545-5009, 1545-5017","issue":"10","journalAbbreviation":"Pediatr Blood Cancer","language":"en","source":"DOI.org (Crossref)","title":"New dosing nomogram and population pharmacokinetic model for young and very young children receiving busulfan for hematopoietic stem cell transplantation conditioning","URL":"https://onlinelibrary.wiley.com/doi/10.1002/pbc.28603","volume":"67","author":[{"family":"Poinsignon","given":"Vianney"},{"family":"Faivre","given":"Laura"},{"family":"Nguyen","given":"Laurent"},{"family":"Neven","given":"Benedicte"},{"family":"Broutin","given":"Sophie"},{"family":"Moshous","given":"Despina"},{"family":"Bourget","given":"Philippe"},{"family":"Dufour","given":"Christelle"},{"family":"Dalle","given":"Jean‐Hugues"},{"family":"Galambrun","given":"Claire"},{"family":"Devictor","given":"Benedicte"},{"family":"Kemmel","given":"Veronique"},{"family":"De Berranger","given":"Eva"},{"family":"Gandemer","given":"Virginie"},{"family":"Vannier","given":"Jean Pierre"},{"family":"Jubert","given":"Charlotte"},{"family":"Bondu","given":"Sabrina"},{"family":"Mir","given":"Olivier"},{"family":"Petain","given":"Aurelie"},{"family":"Vassal","given":"Gilles"},{"family":"Paci","given":"Angelo"}],"accessed":{"date-parts":[["2023",2,27]]},"issued":{"date-parts":[["2020",10]]}}}],"schema":"https://github.com/citation-style-language/schema/raw/master/csl-citation.json"} </w:instrText>
      </w:r>
      <w:r w:rsidRPr="00B73036">
        <w:rPr>
          <w:rFonts w:eastAsia="Times New Roman" w:cstheme="minorHAnsi"/>
          <w:sz w:val="24"/>
          <w:szCs w:val="24"/>
          <w:lang w:val="en-US"/>
        </w:rPr>
        <w:fldChar w:fldCharType="separate"/>
      </w:r>
      <w:r w:rsidR="00A94E32" w:rsidRPr="00B73036">
        <w:rPr>
          <w:rFonts w:cstheme="minorHAnsi"/>
          <w:sz w:val="24"/>
          <w:szCs w:val="24"/>
          <w:lang w:val="en-US"/>
        </w:rPr>
        <w:t>[3]</w:t>
      </w:r>
      <w:r w:rsidRPr="00B73036">
        <w:rPr>
          <w:rFonts w:eastAsia="Times New Roman" w:cstheme="minorHAnsi"/>
          <w:sz w:val="24"/>
          <w:szCs w:val="24"/>
          <w:lang w:val="en-US"/>
        </w:rPr>
        <w:fldChar w:fldCharType="end"/>
      </w:r>
      <w:r w:rsidRPr="00B73036">
        <w:rPr>
          <w:rFonts w:eastAsia="Times New Roman" w:cstheme="minorHAnsi"/>
          <w:sz w:val="24"/>
          <w:szCs w:val="24"/>
          <w:lang w:val="en-US"/>
        </w:rPr>
        <w:t xml:space="preserve">. Systematic day-to-day changes in </w:t>
      </w:r>
      <w:r w:rsidR="00AA2B87" w:rsidRPr="00B73036">
        <w:rPr>
          <w:rFonts w:eastAsia="Times New Roman" w:cstheme="minorHAnsi"/>
          <w:sz w:val="24"/>
          <w:szCs w:val="24"/>
          <w:lang w:val="en-US"/>
        </w:rPr>
        <w:t>pharmacokinetic (</w:t>
      </w:r>
      <w:r w:rsidRPr="00B73036">
        <w:rPr>
          <w:rFonts w:eastAsia="Times New Roman" w:cstheme="minorHAnsi"/>
          <w:sz w:val="24"/>
          <w:szCs w:val="24"/>
          <w:lang w:val="en-US"/>
        </w:rPr>
        <w:t>PK</w:t>
      </w:r>
      <w:r w:rsidR="00AA2B87" w:rsidRPr="00B73036">
        <w:rPr>
          <w:rFonts w:eastAsia="Times New Roman" w:cstheme="minorHAnsi"/>
          <w:sz w:val="24"/>
          <w:szCs w:val="24"/>
          <w:lang w:val="en-US"/>
        </w:rPr>
        <w:t>)</w:t>
      </w:r>
      <w:r w:rsidRPr="00B73036">
        <w:rPr>
          <w:rFonts w:eastAsia="Times New Roman" w:cstheme="minorHAnsi"/>
          <w:sz w:val="24"/>
          <w:szCs w:val="24"/>
          <w:lang w:val="en-US"/>
        </w:rPr>
        <w:t xml:space="preserve"> parameters were also explored, either as fixed effects or as a time-dependent phenomenon </w:t>
      </w:r>
      <w:r w:rsidRPr="00B73036">
        <w:rPr>
          <w:rFonts w:eastAsia="Times New Roman" w:cstheme="minorHAnsi"/>
          <w:sz w:val="24"/>
          <w:szCs w:val="24"/>
          <w:lang w:val="en-US"/>
        </w:rPr>
        <w:fldChar w:fldCharType="begin"/>
      </w:r>
      <w:r w:rsidR="00A94E32" w:rsidRPr="00B73036">
        <w:rPr>
          <w:rFonts w:eastAsia="Times New Roman" w:cstheme="minorHAnsi"/>
          <w:sz w:val="24"/>
          <w:szCs w:val="24"/>
          <w:lang w:val="en-US"/>
        </w:rPr>
        <w:instrText xml:space="preserve"> ADDIN ZOTERO_ITEM CSL_CITATION {"citationID":"o7NaZPTl","properties":{"formattedCitation":"[2]","plainCitation":"[2]","noteIndex":0},"citationItems":[{"id":2952,"uris":["http://zotero.org/users/2949263/items/CVD2CGXP"],"itemData":{"id":2952,"type":"article-journal","container-title":"CPT: Pharmacometrics &amp; Systems Pharmacology","DOI":"10.1002/psp4.12809","ISSN":"2163-8306, 2163-8306","issue":"8","journalAbbreviation":"CPT Pharmacom &amp; Syst Pharma","language":"en","page":"1002-1017","source":"DOI.org (Crossref)","title":"Population pharmacokinetic model for once‐daily intravenous busulfan in pediatric subjects describing &lt;span style=\"font-variant:small-caps;\"&gt;time‐associated&lt;/span&gt; clearance","title-short":"Population pharmacokinetic model for once‐daily intravenous busulfan in pediatric subjects describing &lt;span style=\"font-variant","volume":"11","author":[{"family":"Lawson","given":"Rachael"},{"family":"Staatz","given":"Christine E."},{"family":"Fraser","given":"Christopher J."},{"family":"Ramachandran","given":"Shanti"},{"family":"Teague","given":"Lochie"},{"family":"Mitchell","given":"Richard"},{"family":"O'Brien","given":"Tracey"},{"family":"Hennig","given":"Stefanie"}],"issued":{"date-parts":[["2022",8]]}}}],"schema":"https://github.com/citation-style-language/schema/raw/master/csl-citation.json"} </w:instrText>
      </w:r>
      <w:r w:rsidRPr="00B73036">
        <w:rPr>
          <w:rFonts w:eastAsia="Times New Roman" w:cstheme="minorHAnsi"/>
          <w:sz w:val="24"/>
          <w:szCs w:val="24"/>
          <w:lang w:val="en-US"/>
        </w:rPr>
        <w:fldChar w:fldCharType="separate"/>
      </w:r>
      <w:r w:rsidR="00A94E32" w:rsidRPr="00B73036">
        <w:rPr>
          <w:rFonts w:cstheme="minorHAnsi"/>
          <w:sz w:val="24"/>
          <w:szCs w:val="24"/>
          <w:lang w:val="en-US"/>
        </w:rPr>
        <w:t>[2]</w:t>
      </w:r>
      <w:r w:rsidRPr="00B73036">
        <w:rPr>
          <w:rFonts w:eastAsia="Times New Roman" w:cstheme="minorHAnsi"/>
          <w:sz w:val="24"/>
          <w:szCs w:val="24"/>
          <w:lang w:val="en-US"/>
        </w:rPr>
        <w:fldChar w:fldCharType="end"/>
      </w:r>
      <w:r w:rsidRPr="00B73036">
        <w:rPr>
          <w:rFonts w:eastAsia="Times New Roman" w:cstheme="minorHAnsi"/>
          <w:sz w:val="24"/>
          <w:szCs w:val="24"/>
          <w:lang w:val="en-US"/>
        </w:rPr>
        <w:t xml:space="preserve">. Additive, proportional, and combined error models </w:t>
      </w:r>
      <w:proofErr w:type="gramStart"/>
      <w:r w:rsidRPr="00B73036">
        <w:rPr>
          <w:rFonts w:eastAsia="Times New Roman" w:cstheme="minorHAnsi"/>
          <w:sz w:val="24"/>
          <w:szCs w:val="24"/>
          <w:lang w:val="en-US"/>
        </w:rPr>
        <w:t>were investigated</w:t>
      </w:r>
      <w:proofErr w:type="gramEnd"/>
      <w:r w:rsidRPr="00B73036">
        <w:rPr>
          <w:rFonts w:eastAsia="Times New Roman" w:cstheme="minorHAnsi"/>
          <w:sz w:val="24"/>
          <w:szCs w:val="24"/>
          <w:lang w:val="en-US"/>
        </w:rPr>
        <w:t xml:space="preserve"> to describe residual variability. Models were compared based on the log-likelihood ratio test and evaluated with standard goodness-of-fit plots and prediction-corrected visual predictive checks (</w:t>
      </w:r>
      <w:proofErr w:type="spellStart"/>
      <w:r w:rsidRPr="00B73036">
        <w:rPr>
          <w:rFonts w:eastAsia="Times New Roman" w:cstheme="minorHAnsi"/>
          <w:sz w:val="24"/>
          <w:szCs w:val="24"/>
          <w:lang w:val="en-US"/>
        </w:rPr>
        <w:t>pcVPC</w:t>
      </w:r>
      <w:proofErr w:type="spellEnd"/>
      <w:r w:rsidRPr="00B73036">
        <w:rPr>
          <w:rFonts w:eastAsia="Times New Roman" w:cstheme="minorHAnsi"/>
          <w:sz w:val="24"/>
          <w:szCs w:val="24"/>
          <w:lang w:val="en-US"/>
        </w:rPr>
        <w:t xml:space="preserve">) </w:t>
      </w:r>
      <w:r w:rsidRPr="00B73036">
        <w:rPr>
          <w:rFonts w:eastAsia="Times New Roman" w:cstheme="minorHAnsi"/>
          <w:sz w:val="24"/>
          <w:szCs w:val="24"/>
          <w:lang w:val="en-US"/>
        </w:rPr>
        <w:fldChar w:fldCharType="begin"/>
      </w:r>
      <w:r w:rsidR="00A94E32" w:rsidRPr="00B73036">
        <w:rPr>
          <w:rFonts w:eastAsia="Times New Roman" w:cstheme="minorHAnsi"/>
          <w:sz w:val="24"/>
          <w:szCs w:val="24"/>
          <w:lang w:val="en-US"/>
        </w:rPr>
        <w:instrText xml:space="preserve"> ADDIN ZOTERO_ITEM CSL_CITATION {"citationID":"SIVBQThY","properties":{"formattedCitation":"[4]","plainCitation":"[4]","noteIndex":0},"citationItems":[{"id":3139,"uris":["http://zotero.org/users/2949263/items/XA9YJIVJ"],"itemData":{"id":3139,"type":"article-journal","abstract":"Informative diagnostic tools are vital to the development of useful mixed-effects models. The Visual Predictive Check (VPC) is a popular tool for evaluating the performance of population PK and PKPD models. Ideally, a VPC will diagnose both the fixed and random effects in a mixed-effects model. In many cases, this can be done by comparing different percentiles of the observed data to percentiles of simulated data, generally grouped together within bins of an independent variable. However, the diagnostic value of a VPC can be hampered by binning across a large variability in dose and/or influential covariates. VPCs can also be misleading if applied to data following adaptive designs such as dose adjustments. The prediction-corrected VPC (pcVPC) offers a solution to these problems while retaining the visual interpretation of the traditional VPC. In a pcVPC, the variability coming from binning across independent variables is removed by normalizing the observed and simulated dependent variable based on the typical population prediction for the median independent variable in the bin. The principal benefit with the pcVPC has been explored by application to both simulated and real examples of PK and PKPD models. The investigated examples demonstrate that pcVPCs have an enhanced ability to diagnose model misspecification especially with respect to random effects models in a range of situations. The pcVPC was in contrast to traditional VPCs shown to be readily applicable to data from studies with a priori and/or a posteriori dose adaptations.","container-title":"The AAPS journal","DOI":"10.1208/s12248-011-9255-z","ISSN":"1550-7416","issue":"2","journalAbbreviation":"AAPS J","language":"eng","note":"PMID: 21302010\nPMCID: PMC3085712","page":"143-151","source":"PubMed","title":"Prediction-corrected visual predictive checks for diagnosing nonlinear mixed-effects models","volume":"13","author":[{"family":"Bergstrand","given":"Martin"},{"family":"Hooker","given":"Andrew C."},{"family":"Wallin","given":"Johan E."},{"family":"Karlsson","given":"Mats O."}],"issued":{"date-parts":[["2011",6]]}}}],"schema":"https://github.com/citation-style-language/schema/raw/master/csl-citation.json"} </w:instrText>
      </w:r>
      <w:r w:rsidRPr="00B73036">
        <w:rPr>
          <w:rFonts w:eastAsia="Times New Roman" w:cstheme="minorHAnsi"/>
          <w:sz w:val="24"/>
          <w:szCs w:val="24"/>
          <w:lang w:val="en-US"/>
        </w:rPr>
        <w:fldChar w:fldCharType="separate"/>
      </w:r>
      <w:r w:rsidR="00A94E32" w:rsidRPr="00B73036">
        <w:rPr>
          <w:rFonts w:cstheme="minorHAnsi"/>
          <w:sz w:val="24"/>
          <w:szCs w:val="24"/>
          <w:lang w:val="en-US"/>
        </w:rPr>
        <w:t>[4]</w:t>
      </w:r>
      <w:r w:rsidRPr="00B73036">
        <w:rPr>
          <w:rFonts w:eastAsia="Times New Roman" w:cstheme="minorHAnsi"/>
          <w:sz w:val="24"/>
          <w:szCs w:val="24"/>
          <w:lang w:val="en-US"/>
        </w:rPr>
        <w:fldChar w:fldCharType="end"/>
      </w:r>
      <w:r w:rsidRPr="00B73036">
        <w:rPr>
          <w:rFonts w:eastAsia="Times New Roman" w:cstheme="minorHAnsi"/>
          <w:sz w:val="24"/>
          <w:szCs w:val="24"/>
          <w:lang w:val="en-US"/>
        </w:rPr>
        <w:t xml:space="preserve">. Parameter estimation precision </w:t>
      </w:r>
      <w:proofErr w:type="gramStart"/>
      <w:r w:rsidRPr="00B73036">
        <w:rPr>
          <w:rFonts w:eastAsia="Times New Roman" w:cstheme="minorHAnsi"/>
          <w:sz w:val="24"/>
          <w:szCs w:val="24"/>
          <w:lang w:val="en-US"/>
        </w:rPr>
        <w:t>was assessed</w:t>
      </w:r>
      <w:proofErr w:type="gramEnd"/>
      <w:r w:rsidRPr="00B73036">
        <w:rPr>
          <w:rFonts w:eastAsia="Times New Roman" w:cstheme="minorHAnsi"/>
          <w:sz w:val="24"/>
          <w:szCs w:val="24"/>
          <w:lang w:val="en-US"/>
        </w:rPr>
        <w:t xml:space="preserve"> with the NONMEM covariance step.</w:t>
      </w:r>
    </w:p>
    <w:p w14:paraId="0FCC94FF" w14:textId="77777777" w:rsidR="00033A26" w:rsidRPr="00B73036" w:rsidRDefault="00033A26">
      <w:pPr>
        <w:rPr>
          <w:rFonts w:eastAsia="Times New Roman" w:cstheme="minorHAnsi"/>
          <w:sz w:val="24"/>
          <w:szCs w:val="24"/>
          <w:lang w:val="en-US"/>
        </w:rPr>
      </w:pPr>
    </w:p>
    <w:p w14:paraId="367CC27E" w14:textId="77777777" w:rsidR="00033A26" w:rsidRPr="00B73036" w:rsidRDefault="00033A26">
      <w:pPr>
        <w:rPr>
          <w:rFonts w:eastAsia="Times New Roman" w:cstheme="minorHAnsi"/>
          <w:sz w:val="24"/>
          <w:szCs w:val="24"/>
          <w:lang w:val="en-US"/>
        </w:rPr>
      </w:pPr>
      <w:r w:rsidRPr="00B73036">
        <w:rPr>
          <w:rFonts w:eastAsia="Times New Roman" w:cstheme="minorHAnsi"/>
          <w:sz w:val="24"/>
          <w:szCs w:val="24"/>
          <w:lang w:val="en-US"/>
        </w:rPr>
        <w:t>1.4 Development of the covariate model</w:t>
      </w:r>
    </w:p>
    <w:p w14:paraId="6B3E3D07" w14:textId="2CA88769" w:rsidR="00033A26" w:rsidRPr="00B73036" w:rsidRDefault="00033A26" w:rsidP="00033A26">
      <w:pPr>
        <w:spacing w:before="240" w:after="240" w:line="480" w:lineRule="auto"/>
        <w:jc w:val="both"/>
        <w:rPr>
          <w:rFonts w:eastAsia="Times New Roman" w:cstheme="minorHAnsi"/>
          <w:sz w:val="24"/>
          <w:szCs w:val="24"/>
          <w:lang w:val="en-US"/>
        </w:rPr>
      </w:pPr>
      <w:r w:rsidRPr="00B73036">
        <w:rPr>
          <w:rFonts w:eastAsia="Times New Roman" w:cstheme="minorHAnsi"/>
          <w:sz w:val="24"/>
          <w:szCs w:val="24"/>
          <w:lang w:val="en-US"/>
        </w:rPr>
        <w:lastRenderedPageBreak/>
        <w:t xml:space="preserve">Categorical covariates </w:t>
      </w:r>
      <w:proofErr w:type="gramStart"/>
      <w:r w:rsidRPr="00B73036">
        <w:rPr>
          <w:rFonts w:eastAsia="Times New Roman" w:cstheme="minorHAnsi"/>
          <w:sz w:val="24"/>
          <w:szCs w:val="24"/>
          <w:lang w:val="en-US"/>
        </w:rPr>
        <w:t>were coded</w:t>
      </w:r>
      <w:proofErr w:type="gramEnd"/>
      <w:r w:rsidRPr="00B73036">
        <w:rPr>
          <w:rFonts w:eastAsia="Times New Roman" w:cstheme="minorHAnsi"/>
          <w:sz w:val="24"/>
          <w:szCs w:val="24"/>
          <w:lang w:val="en-US"/>
        </w:rPr>
        <w:t xml:space="preserve">: </w:t>
      </w:r>
      <m:oMath>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i</m:t>
            </m:r>
          </m:sub>
        </m:sSub>
        <m:r>
          <w:rPr>
            <w:rFonts w:ascii="Cambria Math" w:eastAsia="Times New Roman" w:hAnsi="Cambria Math" w:cstheme="minorHAnsi"/>
            <w:sz w:val="24"/>
            <w:szCs w:val="24"/>
            <w:lang w:val="en-US"/>
          </w:rPr>
          <m:t>=</m:t>
        </m:r>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TV</m:t>
            </m:r>
          </m:sub>
        </m:sSub>
        <m:r>
          <w:rPr>
            <w:rFonts w:ascii="Cambria Math" w:eastAsia="Times New Roman" w:hAnsi="Cambria Math" w:cstheme="minorHAnsi"/>
            <w:sz w:val="24"/>
            <w:szCs w:val="24"/>
            <w:lang w:val="en-US"/>
          </w:rPr>
          <m:t>∙</m:t>
        </m:r>
        <m:sSup>
          <m:sSupPr>
            <m:ctrlPr>
              <w:rPr>
                <w:rFonts w:ascii="Cambria Math" w:eastAsia="Times New Roman" w:hAnsi="Cambria Math" w:cstheme="minorHAnsi"/>
                <w:i/>
                <w:sz w:val="24"/>
                <w:szCs w:val="24"/>
                <w:lang w:val="en-US"/>
              </w:rPr>
            </m:ctrlPr>
          </m:sSupPr>
          <m:e>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COV</m:t>
                </m:r>
              </m:sub>
            </m:sSub>
            <m:r>
              <w:rPr>
                <w:rFonts w:ascii="Cambria Math" w:eastAsia="Times New Roman" w:hAnsi="Cambria Math" w:cstheme="minorHAnsi"/>
                <w:sz w:val="24"/>
                <w:szCs w:val="24"/>
                <w:lang w:val="en-US"/>
              </w:rPr>
              <m:t>)</m:t>
            </m:r>
          </m:e>
          <m:sup>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COV</m:t>
                </m:r>
              </m:e>
              <m:sub>
                <m:r>
                  <w:rPr>
                    <w:rFonts w:ascii="Cambria Math" w:eastAsia="Times New Roman" w:hAnsi="Cambria Math" w:cstheme="minorHAnsi"/>
                    <w:sz w:val="24"/>
                    <w:szCs w:val="24"/>
                    <w:lang w:val="en-US"/>
                  </w:rPr>
                  <m:t>i</m:t>
                </m:r>
              </m:sub>
            </m:sSub>
          </m:sup>
        </m:sSup>
      </m:oMath>
      <w:r w:rsidRPr="00B73036">
        <w:rPr>
          <w:rFonts w:eastAsia="Times New Roman" w:cstheme="minorHAnsi"/>
          <w:sz w:val="24"/>
          <w:szCs w:val="24"/>
          <w:lang w:val="en-US"/>
        </w:rPr>
        <w:t xml:space="preserve"> where </w:t>
      </w:r>
      <m:oMath>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i</m:t>
            </m:r>
          </m:sub>
        </m:sSub>
      </m:oMath>
      <w:r w:rsidRPr="00B73036">
        <w:rPr>
          <w:rFonts w:eastAsia="Times New Roman" w:cstheme="minorHAnsi"/>
          <w:sz w:val="24"/>
          <w:szCs w:val="24"/>
          <w:lang w:val="en-US"/>
        </w:rPr>
        <w:t xml:space="preserve"> was the individual parameter value, </w:t>
      </w:r>
      <m:oMath>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TV</m:t>
            </m:r>
          </m:sub>
        </m:sSub>
      </m:oMath>
      <w:r w:rsidRPr="00B73036">
        <w:rPr>
          <w:rFonts w:eastAsia="Times New Roman" w:cstheme="minorHAnsi"/>
          <w:sz w:val="24"/>
          <w:szCs w:val="24"/>
          <w:lang w:val="en-US"/>
        </w:rPr>
        <w:t xml:space="preserve"> the typical parameter value, </w:t>
      </w:r>
      <m:oMath>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COV</m:t>
            </m:r>
          </m:sub>
        </m:sSub>
      </m:oMath>
      <w:r w:rsidRPr="00B73036">
        <w:rPr>
          <w:rFonts w:eastAsia="Times New Roman" w:cstheme="minorHAnsi"/>
          <w:sz w:val="24"/>
          <w:szCs w:val="24"/>
          <w:lang w:val="en-US"/>
        </w:rPr>
        <w:t xml:space="preserve"> the covariate effect to be estimated and </w:t>
      </w:r>
      <m:oMath>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COV</m:t>
            </m:r>
          </m:e>
          <m:sub>
            <m:r>
              <w:rPr>
                <w:rFonts w:ascii="Cambria Math" w:eastAsia="Times New Roman" w:hAnsi="Cambria Math" w:cstheme="minorHAnsi"/>
                <w:sz w:val="24"/>
                <w:szCs w:val="24"/>
                <w:lang w:val="en-US"/>
              </w:rPr>
              <m:t>i</m:t>
            </m:r>
          </m:sub>
        </m:sSub>
      </m:oMath>
      <w:r w:rsidRPr="00B73036">
        <w:rPr>
          <w:rFonts w:eastAsia="Times New Roman" w:cstheme="minorHAnsi"/>
          <w:sz w:val="24"/>
          <w:szCs w:val="24"/>
          <w:lang w:val="en-US"/>
        </w:rPr>
        <w:t xml:space="preserve"> the individual covariate value equal to 0 or 1. Continuous covariates </w:t>
      </w:r>
      <w:proofErr w:type="gramStart"/>
      <w:r w:rsidRPr="00B73036">
        <w:rPr>
          <w:rFonts w:eastAsia="Times New Roman" w:cstheme="minorHAnsi"/>
          <w:sz w:val="24"/>
          <w:szCs w:val="24"/>
          <w:lang w:val="en-US"/>
        </w:rPr>
        <w:t>were coded</w:t>
      </w:r>
      <w:proofErr w:type="gramEnd"/>
      <w:r w:rsidRPr="00B73036">
        <w:rPr>
          <w:rFonts w:eastAsia="Times New Roman" w:cstheme="minorHAnsi"/>
          <w:sz w:val="24"/>
          <w:szCs w:val="24"/>
          <w:lang w:val="en-US"/>
        </w:rPr>
        <w:t xml:space="preserve"> with an </w:t>
      </w:r>
      <w:proofErr w:type="spellStart"/>
      <w:r w:rsidRPr="00B73036">
        <w:rPr>
          <w:rFonts w:eastAsia="Times New Roman" w:cstheme="minorHAnsi"/>
          <w:sz w:val="24"/>
          <w:szCs w:val="24"/>
          <w:lang w:val="en-US"/>
        </w:rPr>
        <w:t>allometric</w:t>
      </w:r>
      <w:proofErr w:type="spellEnd"/>
      <w:r w:rsidRPr="00B73036">
        <w:rPr>
          <w:rFonts w:eastAsia="Times New Roman" w:cstheme="minorHAnsi"/>
          <w:sz w:val="24"/>
          <w:szCs w:val="24"/>
          <w:lang w:val="en-US"/>
        </w:rPr>
        <w:t xml:space="preserve"> function:</w:t>
      </w:r>
      <m:oMath>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 xml:space="preserve"> θ</m:t>
            </m:r>
          </m:e>
          <m:sub>
            <m:r>
              <w:rPr>
                <w:rFonts w:ascii="Cambria Math" w:eastAsia="Times New Roman" w:hAnsi="Cambria Math" w:cstheme="minorHAnsi"/>
                <w:sz w:val="24"/>
                <w:szCs w:val="24"/>
                <w:lang w:val="en-US"/>
              </w:rPr>
              <m:t>i</m:t>
            </m:r>
          </m:sub>
        </m:sSub>
        <m:r>
          <w:rPr>
            <w:rFonts w:ascii="Cambria Math" w:eastAsia="Times New Roman" w:hAnsi="Cambria Math" w:cstheme="minorHAnsi"/>
            <w:sz w:val="24"/>
            <w:szCs w:val="24"/>
            <w:lang w:val="en-US"/>
          </w:rPr>
          <m:t>=</m:t>
        </m:r>
        <m:sSup>
          <m:sSupPr>
            <m:ctrlPr>
              <w:rPr>
                <w:rFonts w:ascii="Cambria Math" w:eastAsia="Times New Roman" w:hAnsi="Cambria Math" w:cstheme="minorHAnsi"/>
                <w:i/>
                <w:sz w:val="24"/>
                <w:szCs w:val="24"/>
                <w:lang w:val="en-US"/>
              </w:rPr>
            </m:ctrlPr>
          </m:sSupPr>
          <m:e>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TV</m:t>
                </m:r>
              </m:sub>
            </m:sSub>
            <m:r>
              <w:rPr>
                <w:rFonts w:ascii="Cambria Math" w:eastAsia="Times New Roman" w:hAnsi="Cambria Math" w:cstheme="minorHAnsi"/>
                <w:sz w:val="24"/>
                <w:szCs w:val="24"/>
                <w:lang w:val="en-US"/>
              </w:rPr>
              <m:t>∙(</m:t>
            </m:r>
            <m:f>
              <m:fPr>
                <m:ctrlPr>
                  <w:rPr>
                    <w:rFonts w:ascii="Cambria Math" w:eastAsia="Times New Roman" w:hAnsi="Cambria Math" w:cstheme="minorHAnsi"/>
                    <w:i/>
                    <w:sz w:val="24"/>
                    <w:szCs w:val="24"/>
                    <w:lang w:val="en-US"/>
                  </w:rPr>
                </m:ctrlPr>
              </m:fPr>
              <m:num>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COV</m:t>
                    </m:r>
                  </m:e>
                  <m:sub>
                    <m:r>
                      <w:rPr>
                        <w:rFonts w:ascii="Cambria Math" w:eastAsia="Times New Roman" w:hAnsi="Cambria Math" w:cstheme="minorHAnsi"/>
                        <w:sz w:val="24"/>
                        <w:szCs w:val="24"/>
                        <w:lang w:val="en-US"/>
                      </w:rPr>
                      <m:t>i</m:t>
                    </m:r>
                  </m:sub>
                </m:sSub>
              </m:num>
              <m:den>
                <m:r>
                  <w:rPr>
                    <w:rFonts w:ascii="Cambria Math" w:eastAsia="Times New Roman" w:hAnsi="Cambria Math" w:cstheme="minorHAnsi"/>
                    <w:sz w:val="24"/>
                    <w:szCs w:val="24"/>
                    <w:lang w:val="en-US"/>
                  </w:rPr>
                  <m:t>median(COV)</m:t>
                </m:r>
              </m:den>
            </m:f>
            <m:r>
              <w:rPr>
                <w:rFonts w:ascii="Cambria Math" w:eastAsia="Times New Roman" w:hAnsi="Cambria Math" w:cstheme="minorHAnsi"/>
                <w:sz w:val="24"/>
                <w:szCs w:val="24"/>
                <w:lang w:val="en-US"/>
              </w:rPr>
              <m:t>)</m:t>
            </m:r>
          </m:e>
          <m:sup>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θ</m:t>
                </m:r>
              </m:e>
              <m:sub>
                <m:r>
                  <w:rPr>
                    <w:rFonts w:ascii="Cambria Math" w:eastAsia="Times New Roman" w:hAnsi="Cambria Math" w:cstheme="minorHAnsi"/>
                    <w:sz w:val="24"/>
                    <w:szCs w:val="24"/>
                    <w:lang w:val="en-US"/>
                  </w:rPr>
                  <m:t>COV</m:t>
                </m:r>
              </m:sub>
            </m:sSub>
          </m:sup>
        </m:sSup>
      </m:oMath>
      <w:r w:rsidRPr="00B73036">
        <w:rPr>
          <w:rFonts w:eastAsia="Times New Roman" w:cstheme="minorHAnsi"/>
          <w:sz w:val="24"/>
          <w:szCs w:val="24"/>
          <w:lang w:val="en-US"/>
        </w:rPr>
        <w:t xml:space="preserve"> where </w:t>
      </w:r>
      <m:oMath>
        <m:r>
          <w:rPr>
            <w:rFonts w:ascii="Cambria Math" w:eastAsia="Times New Roman" w:hAnsi="Cambria Math" w:cstheme="minorHAnsi"/>
            <w:sz w:val="24"/>
            <w:szCs w:val="24"/>
            <w:lang w:val="en-US"/>
          </w:rPr>
          <m:t>median(COV)</m:t>
        </m:r>
      </m:oMath>
      <w:r w:rsidRPr="00B73036">
        <w:rPr>
          <w:rFonts w:eastAsia="Times New Roman" w:cstheme="minorHAnsi"/>
          <w:sz w:val="24"/>
          <w:szCs w:val="24"/>
          <w:lang w:val="en-US"/>
        </w:rPr>
        <w:t xml:space="preserve"> is the median value of the covariate in the population and </w:t>
      </w:r>
      <m:oMath>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COV</m:t>
            </m:r>
          </m:e>
          <m:sub>
            <m:r>
              <w:rPr>
                <w:rFonts w:ascii="Cambria Math" w:eastAsia="Times New Roman" w:hAnsi="Cambria Math" w:cstheme="minorHAnsi"/>
                <w:sz w:val="24"/>
                <w:szCs w:val="24"/>
                <w:lang w:val="en-US"/>
              </w:rPr>
              <m:t>i</m:t>
            </m:r>
          </m:sub>
        </m:sSub>
      </m:oMath>
      <w:r w:rsidRPr="00B73036">
        <w:rPr>
          <w:rFonts w:eastAsia="Times New Roman" w:cstheme="minorHAnsi"/>
          <w:sz w:val="24"/>
          <w:szCs w:val="24"/>
          <w:lang w:val="en-US"/>
        </w:rPr>
        <w:t xml:space="preserve"> a continuous variable. The SCM procedure was conducted with Pearl-Speaks-NONMEM </w:t>
      </w:r>
      <w:r w:rsidRPr="00B73036">
        <w:rPr>
          <w:rFonts w:eastAsia="Times New Roman" w:cstheme="minorHAnsi"/>
          <w:sz w:val="24"/>
          <w:szCs w:val="24"/>
          <w:lang w:val="en-US"/>
        </w:rPr>
        <w:fldChar w:fldCharType="begin"/>
      </w:r>
      <w:r w:rsidR="00A94E32" w:rsidRPr="00B73036">
        <w:rPr>
          <w:rFonts w:eastAsia="Times New Roman" w:cstheme="minorHAnsi"/>
          <w:sz w:val="24"/>
          <w:szCs w:val="24"/>
          <w:lang w:val="en-US"/>
        </w:rPr>
        <w:instrText xml:space="preserve"> ADDIN ZOTERO_ITEM CSL_CITATION {"citationID":"FGQIUQPW","properties":{"formattedCitation":"[5]","plainCitation":"[5]","noteIndex":0},"citationItems":[{"id":2128,"uris":["http://zotero.org/users/2949263/items/T2FJNFGH"],"itemData":{"id":2128,"type":"article-journal","abstract":"The NONMEM program is the most widely used nonlinear regression software in population pharmacokinetic/pharmacodynamic (PK/PD) analyses. In this article we describe a programming library, Perl-speaks-NONMEM (PsN), intended for programmers that aim at using the computational capability of NONMEM in external applications. The library is object oriented and written in the programming language Perl. The classes of the library are built around NONMEM’s data, model and output files. The specification of the NONMEM model is easily set or changed through the model and data file classes while the output from a model fit is accessed through the output file class. The classes have methods that help the programmer perform common repetitive tasks, e.g. summarising the output from a NONMEM run, setting the initial estimates of a model based on a previous run or truncating values over a certain threshold in the data file. PsN creates a basis for the development of high-level software using NONMEM as the regression tool.","container-title":"Computer Methods and Programs in Biomedicine","DOI":"10.1016/j.cmpb.2003.11.003","ISSN":"0169-2607","issue":"2","journalAbbreviation":"Computer Methods and Programs in Biomedicine","language":"en","page":"85-94","source":"ScienceDirect","title":"Perl-speaks-NONMEM (PsN)—a Perl module for NONMEM related programming","volume":"75","author":[{"family":"Lindbom","given":"Lars"},{"family":"Ribbing","given":"Jakob"},{"family":"Jonsson","given":"E. Niclas"}],"issued":{"date-parts":[["2004",8,1]]}}}],"schema":"https://github.com/citation-style-language/schema/raw/master/csl-citation.json"} </w:instrText>
      </w:r>
      <w:r w:rsidRPr="00B73036">
        <w:rPr>
          <w:rFonts w:eastAsia="Times New Roman" w:cstheme="minorHAnsi"/>
          <w:sz w:val="24"/>
          <w:szCs w:val="24"/>
          <w:lang w:val="en-US"/>
        </w:rPr>
        <w:fldChar w:fldCharType="separate"/>
      </w:r>
      <w:r w:rsidR="00A94E32" w:rsidRPr="00B73036">
        <w:rPr>
          <w:rFonts w:cstheme="minorHAnsi"/>
          <w:sz w:val="24"/>
          <w:szCs w:val="24"/>
          <w:lang w:val="en-US"/>
        </w:rPr>
        <w:t>[5]</w:t>
      </w:r>
      <w:r w:rsidRPr="00B73036">
        <w:rPr>
          <w:rFonts w:eastAsia="Times New Roman" w:cstheme="minorHAnsi"/>
          <w:sz w:val="24"/>
          <w:szCs w:val="24"/>
          <w:lang w:val="en-US"/>
        </w:rPr>
        <w:fldChar w:fldCharType="end"/>
      </w:r>
      <w:r w:rsidRPr="00B73036">
        <w:rPr>
          <w:rFonts w:eastAsia="Times New Roman" w:cstheme="minorHAnsi"/>
          <w:sz w:val="24"/>
          <w:szCs w:val="24"/>
          <w:lang w:val="en-US"/>
        </w:rPr>
        <w:t xml:space="preserve">. Statistical significance </w:t>
      </w:r>
      <w:proofErr w:type="gramStart"/>
      <w:r w:rsidRPr="00B73036">
        <w:rPr>
          <w:rFonts w:eastAsia="Times New Roman" w:cstheme="minorHAnsi"/>
          <w:sz w:val="24"/>
          <w:szCs w:val="24"/>
          <w:lang w:val="en-US"/>
        </w:rPr>
        <w:t>was defined</w:t>
      </w:r>
      <w:proofErr w:type="gramEnd"/>
      <w:r w:rsidRPr="00B73036">
        <w:rPr>
          <w:rFonts w:eastAsia="Times New Roman" w:cstheme="minorHAnsi"/>
          <w:sz w:val="24"/>
          <w:szCs w:val="24"/>
          <w:lang w:val="en-US"/>
        </w:rPr>
        <w:t>, respectively, at p &lt; 0.05 and p &lt; 0.01 during forward and backward procedures</w:t>
      </w:r>
      <w:r w:rsidR="00181C7C" w:rsidRPr="00B73036">
        <w:rPr>
          <w:rFonts w:eastAsia="Times New Roman" w:cstheme="minorHAnsi"/>
          <w:sz w:val="24"/>
          <w:szCs w:val="24"/>
          <w:lang w:val="en-US"/>
        </w:rPr>
        <w:t xml:space="preserve">. </w:t>
      </w:r>
    </w:p>
    <w:p w14:paraId="4DB82CE7" w14:textId="77777777" w:rsidR="00033A26" w:rsidRPr="00B73036" w:rsidRDefault="00033A26" w:rsidP="00033A26">
      <w:pPr>
        <w:rPr>
          <w:rFonts w:cstheme="minorHAnsi"/>
          <w:sz w:val="24"/>
          <w:szCs w:val="24"/>
          <w:lang w:val="en-US"/>
        </w:rPr>
      </w:pPr>
      <w:r w:rsidRPr="00B73036">
        <w:rPr>
          <w:rFonts w:cstheme="minorHAnsi"/>
          <w:sz w:val="24"/>
          <w:szCs w:val="24"/>
          <w:lang w:val="en-US"/>
        </w:rPr>
        <w:t>1.5 Internal validation procedure (k-fold)</w:t>
      </w:r>
    </w:p>
    <w:p w14:paraId="2D9F8165" w14:textId="1BDA8DE0" w:rsidR="00033A26" w:rsidRPr="00B73036" w:rsidRDefault="00033A26" w:rsidP="00033A26">
      <w:pPr>
        <w:spacing w:before="240" w:after="240" w:line="480" w:lineRule="auto"/>
        <w:jc w:val="both"/>
        <w:rPr>
          <w:rFonts w:eastAsia="Times New Roman" w:cstheme="minorHAnsi"/>
          <w:sz w:val="24"/>
          <w:szCs w:val="24"/>
          <w:lang w:val="en-US"/>
        </w:rPr>
      </w:pPr>
      <w:r w:rsidRPr="00B73036">
        <w:rPr>
          <w:rFonts w:eastAsia="Times New Roman" w:cstheme="minorHAnsi"/>
          <w:sz w:val="24"/>
          <w:szCs w:val="24"/>
          <w:lang w:val="en-US"/>
        </w:rPr>
        <w:t xml:space="preserve">The capacity of the formulas to predict clearance at </w:t>
      </w:r>
      <w:r w:rsidR="00AA2B87" w:rsidRPr="00B73036">
        <w:rPr>
          <w:rFonts w:eastAsia="Times New Roman" w:cstheme="minorHAnsi"/>
          <w:sz w:val="24"/>
          <w:szCs w:val="24"/>
          <w:lang w:val="en-US"/>
        </w:rPr>
        <w:t>d</w:t>
      </w:r>
      <w:r w:rsidRPr="00B73036">
        <w:rPr>
          <w:rFonts w:eastAsia="Times New Roman" w:cstheme="minorHAnsi"/>
          <w:sz w:val="24"/>
          <w:szCs w:val="24"/>
          <w:lang w:val="en-US"/>
        </w:rPr>
        <w:t xml:space="preserve">ay 1 was evaluated by comparing the formula-predicted individual CL to the reference individual CL. The latter </w:t>
      </w:r>
      <w:proofErr w:type="gramStart"/>
      <w:r w:rsidRPr="00B73036">
        <w:rPr>
          <w:rFonts w:eastAsia="Times New Roman" w:cstheme="minorHAnsi"/>
          <w:sz w:val="24"/>
          <w:szCs w:val="24"/>
          <w:lang w:val="en-US"/>
        </w:rPr>
        <w:t>was defined</w:t>
      </w:r>
      <w:proofErr w:type="gramEnd"/>
      <w:r w:rsidRPr="00B73036">
        <w:rPr>
          <w:rFonts w:eastAsia="Times New Roman" w:cstheme="minorHAnsi"/>
          <w:sz w:val="24"/>
          <w:szCs w:val="24"/>
          <w:lang w:val="en-US"/>
        </w:rPr>
        <w:t xml:space="preserve"> as the MAP-Bayesian estimate from the base model in those patients wi</w:t>
      </w:r>
      <w:r w:rsidR="00CD5E1D" w:rsidRPr="00B73036">
        <w:rPr>
          <w:rFonts w:eastAsia="Times New Roman" w:cstheme="minorHAnsi"/>
          <w:sz w:val="24"/>
          <w:szCs w:val="24"/>
          <w:lang w:val="en-US"/>
        </w:rPr>
        <w:t xml:space="preserve">th a </w:t>
      </w:r>
      <w:r w:rsidR="00AA2B87" w:rsidRPr="00B73036">
        <w:rPr>
          <w:rFonts w:eastAsia="Times New Roman" w:cstheme="minorHAnsi"/>
          <w:sz w:val="24"/>
          <w:szCs w:val="24"/>
          <w:lang w:val="en-US"/>
        </w:rPr>
        <w:t xml:space="preserve">day </w:t>
      </w:r>
      <w:r w:rsidR="00CD5E1D" w:rsidRPr="00B73036">
        <w:rPr>
          <w:rFonts w:eastAsia="Times New Roman" w:cstheme="minorHAnsi"/>
          <w:sz w:val="24"/>
          <w:szCs w:val="24"/>
          <w:lang w:val="en-US"/>
        </w:rPr>
        <w:t>1 exploration available</w:t>
      </w:r>
      <w:r w:rsidR="004D34D7" w:rsidRPr="00B73036">
        <w:rPr>
          <w:rFonts w:eastAsia="Times New Roman" w:cstheme="minorHAnsi"/>
          <w:i/>
          <w:iCs/>
          <w:sz w:val="24"/>
          <w:szCs w:val="24"/>
          <w:lang w:val="en-US"/>
        </w:rPr>
        <w:t xml:space="preserve"> </w:t>
      </w:r>
      <w:r w:rsidRPr="00B73036">
        <w:rPr>
          <w:rFonts w:eastAsia="Times New Roman" w:cstheme="minorHAnsi"/>
          <w:sz w:val="24"/>
          <w:szCs w:val="24"/>
          <w:lang w:val="en-US"/>
        </w:rPr>
        <w:t xml:space="preserve">and with every available concentration </w:t>
      </w:r>
      <w:r w:rsidR="00181C7C" w:rsidRPr="00B73036">
        <w:rPr>
          <w:rFonts w:eastAsia="Times New Roman" w:cstheme="minorHAnsi"/>
          <w:sz w:val="24"/>
          <w:szCs w:val="24"/>
          <w:lang w:val="en-US"/>
        </w:rPr>
        <w:t>considered</w:t>
      </w:r>
      <w:r w:rsidRPr="00B73036">
        <w:rPr>
          <w:rFonts w:eastAsia="Times New Roman" w:cstheme="minorHAnsi"/>
          <w:sz w:val="24"/>
          <w:szCs w:val="24"/>
          <w:lang w:val="en-US"/>
        </w:rPr>
        <w:t xml:space="preserve">. Precision and bias </w:t>
      </w:r>
      <w:proofErr w:type="gramStart"/>
      <w:r w:rsidRPr="00B73036">
        <w:rPr>
          <w:rFonts w:eastAsia="Times New Roman" w:cstheme="minorHAnsi"/>
          <w:sz w:val="24"/>
          <w:szCs w:val="24"/>
          <w:lang w:val="en-US"/>
        </w:rPr>
        <w:t>were assessed</w:t>
      </w:r>
      <w:proofErr w:type="gramEnd"/>
      <w:r w:rsidRPr="00B73036">
        <w:rPr>
          <w:rFonts w:eastAsia="Times New Roman" w:cstheme="minorHAnsi"/>
          <w:sz w:val="24"/>
          <w:szCs w:val="24"/>
          <w:lang w:val="en-US"/>
        </w:rPr>
        <w:t>, respectively, by root-mean square error (RMSE) and mean percentage error (MPE).</w:t>
      </w:r>
    </w:p>
    <w:p w14:paraId="5B33D39C" w14:textId="77777777" w:rsidR="00033A26" w:rsidRPr="00B73036" w:rsidRDefault="00033A26" w:rsidP="00033A26">
      <w:pPr>
        <w:spacing w:line="360" w:lineRule="auto"/>
        <w:jc w:val="both"/>
        <w:rPr>
          <w:rFonts w:eastAsia="Times New Roman" w:cstheme="minorHAnsi"/>
          <w:sz w:val="24"/>
          <w:szCs w:val="24"/>
          <w:lang w:val="en-US"/>
        </w:rPr>
      </w:pPr>
      <m:oMathPara>
        <m:oMath>
          <m:r>
            <w:rPr>
              <w:rFonts w:ascii="Cambria Math" w:eastAsia="Times New Roman" w:hAnsi="Cambria Math" w:cstheme="minorHAnsi"/>
              <w:sz w:val="24"/>
              <w:szCs w:val="24"/>
              <w:lang w:val="en-US"/>
            </w:rPr>
            <m:t>RMSE=</m:t>
          </m:r>
          <m:rad>
            <m:radPr>
              <m:degHide m:val="1"/>
              <m:ctrlPr>
                <w:rPr>
                  <w:rFonts w:ascii="Cambria Math" w:eastAsia="Times New Roman" w:hAnsi="Cambria Math" w:cstheme="minorHAnsi"/>
                  <w:i/>
                  <w:sz w:val="24"/>
                  <w:szCs w:val="24"/>
                  <w:lang w:val="en-US"/>
                </w:rPr>
              </m:ctrlPr>
            </m:radPr>
            <m:deg/>
            <m:e>
              <m:f>
                <m:fPr>
                  <m:ctrlPr>
                    <w:rPr>
                      <w:rFonts w:ascii="Cambria Math" w:eastAsia="Times New Roman" w:hAnsi="Cambria Math" w:cstheme="minorHAnsi"/>
                      <w:i/>
                      <w:sz w:val="24"/>
                      <w:szCs w:val="24"/>
                      <w:lang w:val="en-US"/>
                    </w:rPr>
                  </m:ctrlPr>
                </m:fPr>
                <m:num>
                  <m:r>
                    <w:rPr>
                      <w:rFonts w:ascii="Cambria Math" w:eastAsia="Times New Roman" w:hAnsi="Cambria Math" w:cstheme="minorHAnsi"/>
                      <w:sz w:val="24"/>
                      <w:szCs w:val="24"/>
                      <w:lang w:val="en-US"/>
                    </w:rPr>
                    <m:t>1</m:t>
                  </m:r>
                </m:num>
                <m:den>
                  <m:r>
                    <w:rPr>
                      <w:rFonts w:ascii="Cambria Math" w:eastAsia="Times New Roman" w:hAnsi="Cambria Math" w:cstheme="minorHAnsi"/>
                      <w:sz w:val="24"/>
                      <w:szCs w:val="24"/>
                      <w:lang w:val="en-US"/>
                    </w:rPr>
                    <m:t>n</m:t>
                  </m:r>
                </m:den>
              </m:f>
              <m:r>
                <w:rPr>
                  <w:rFonts w:ascii="Cambria Math" w:eastAsia="Times New Roman" w:hAnsi="Cambria Math" w:cstheme="minorHAnsi"/>
                  <w:sz w:val="24"/>
                  <w:szCs w:val="24"/>
                  <w:lang w:val="en-US"/>
                </w:rPr>
                <m:t>∙</m:t>
              </m:r>
              <m:nary>
                <m:naryPr>
                  <m:chr m:val="∑"/>
                  <m:limLoc m:val="subSup"/>
                  <m:ctrlPr>
                    <w:rPr>
                      <w:rFonts w:ascii="Cambria Math" w:eastAsia="Times New Roman" w:hAnsi="Cambria Math" w:cstheme="minorHAnsi"/>
                      <w:i/>
                      <w:sz w:val="24"/>
                      <w:szCs w:val="24"/>
                      <w:lang w:val="en-US"/>
                    </w:rPr>
                  </m:ctrlPr>
                </m:naryPr>
                <m:sub>
                  <m:r>
                    <w:rPr>
                      <w:rFonts w:ascii="Cambria Math" w:eastAsia="Times New Roman" w:hAnsi="Cambria Math" w:cstheme="minorHAnsi"/>
                      <w:sz w:val="24"/>
                      <w:szCs w:val="24"/>
                      <w:lang w:val="en-US"/>
                    </w:rPr>
                    <m:t>i</m:t>
                  </m:r>
                </m:sub>
                <m:sup>
                  <m:r>
                    <w:rPr>
                      <w:rFonts w:ascii="Cambria Math" w:eastAsia="Times New Roman" w:hAnsi="Cambria Math" w:cstheme="minorHAnsi"/>
                      <w:sz w:val="24"/>
                      <w:szCs w:val="24"/>
                      <w:lang w:val="en-US"/>
                    </w:rPr>
                    <m:t>n</m:t>
                  </m:r>
                </m:sup>
                <m:e>
                  <m:sSup>
                    <m:sSupPr>
                      <m:ctrlPr>
                        <w:rPr>
                          <w:rFonts w:ascii="Cambria Math" w:eastAsia="Times New Roman" w:hAnsi="Cambria Math" w:cstheme="minorHAnsi"/>
                          <w:i/>
                          <w:sz w:val="24"/>
                          <w:szCs w:val="24"/>
                          <w:lang w:val="en-US"/>
                        </w:rPr>
                      </m:ctrlPr>
                    </m:sSupPr>
                    <m:e>
                      <m:r>
                        <w:rPr>
                          <w:rFonts w:ascii="Cambria Math" w:eastAsia="Times New Roman" w:hAnsi="Cambria Math" w:cstheme="minorHAnsi"/>
                          <w:sz w:val="24"/>
                          <w:szCs w:val="24"/>
                          <w:lang w:val="en-US"/>
                        </w:rPr>
                        <m:t>(</m:t>
                      </m:r>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PRED</m:t>
                          </m:r>
                        </m:e>
                        <m:sub>
                          <m:r>
                            <w:rPr>
                              <w:rFonts w:ascii="Cambria Math" w:eastAsia="Times New Roman" w:hAnsi="Cambria Math" w:cstheme="minorHAnsi"/>
                              <w:sz w:val="24"/>
                              <w:szCs w:val="24"/>
                              <w:lang w:val="en-US"/>
                            </w:rPr>
                            <m:t>i</m:t>
                          </m:r>
                        </m:sub>
                      </m:sSub>
                      <m:r>
                        <w:rPr>
                          <w:rFonts w:ascii="Cambria Math" w:eastAsia="Times New Roman" w:hAnsi="Cambria Math" w:cstheme="minorHAnsi"/>
                          <w:sz w:val="24"/>
                          <w:szCs w:val="24"/>
                          <w:lang w:val="en-US"/>
                        </w:rPr>
                        <m:t>-</m:t>
                      </m:r>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OBS</m:t>
                          </m:r>
                        </m:e>
                        <m:sub>
                          <m:r>
                            <w:rPr>
                              <w:rFonts w:ascii="Cambria Math" w:eastAsia="Times New Roman" w:hAnsi="Cambria Math" w:cstheme="minorHAnsi"/>
                              <w:sz w:val="24"/>
                              <w:szCs w:val="24"/>
                              <w:lang w:val="en-US"/>
                            </w:rPr>
                            <m:t>i</m:t>
                          </m:r>
                        </m:sub>
                      </m:sSub>
                      <m:r>
                        <w:rPr>
                          <w:rFonts w:ascii="Cambria Math" w:eastAsia="Times New Roman" w:hAnsi="Cambria Math" w:cstheme="minorHAnsi"/>
                          <w:sz w:val="24"/>
                          <w:szCs w:val="24"/>
                          <w:lang w:val="en-US"/>
                        </w:rPr>
                        <m:t>)</m:t>
                      </m:r>
                    </m:e>
                    <m:sup>
                      <m:r>
                        <w:rPr>
                          <w:rFonts w:ascii="Cambria Math" w:eastAsia="Times New Roman" w:hAnsi="Cambria Math" w:cstheme="minorHAnsi"/>
                          <w:sz w:val="24"/>
                          <w:szCs w:val="24"/>
                          <w:lang w:val="en-US"/>
                        </w:rPr>
                        <m:t>2</m:t>
                      </m:r>
                    </m:sup>
                  </m:sSup>
                </m:e>
              </m:nary>
              <m:r>
                <w:rPr>
                  <w:rFonts w:ascii="Cambria Math" w:eastAsia="Times New Roman" w:hAnsi="Cambria Math" w:cstheme="minorHAnsi"/>
                  <w:sz w:val="24"/>
                  <w:szCs w:val="24"/>
                  <w:lang w:val="en-US"/>
                </w:rPr>
                <m:t xml:space="preserve"> </m:t>
              </m:r>
            </m:e>
          </m:rad>
        </m:oMath>
      </m:oMathPara>
    </w:p>
    <w:p w14:paraId="6E49F24B" w14:textId="77777777" w:rsidR="00033A26" w:rsidRPr="00B73036" w:rsidRDefault="00033A26" w:rsidP="00033A26">
      <w:pPr>
        <w:spacing w:line="360" w:lineRule="auto"/>
        <w:jc w:val="both"/>
        <w:rPr>
          <w:rFonts w:eastAsia="Times New Roman" w:cstheme="minorHAnsi"/>
          <w:sz w:val="24"/>
          <w:szCs w:val="24"/>
          <w:lang w:val="en-US"/>
        </w:rPr>
      </w:pPr>
      <m:oMathPara>
        <m:oMath>
          <m:r>
            <w:rPr>
              <w:rFonts w:ascii="Cambria Math" w:eastAsia="Times New Roman" w:hAnsi="Cambria Math" w:cstheme="minorHAnsi"/>
              <w:sz w:val="24"/>
              <w:szCs w:val="24"/>
              <w:lang w:val="en-US"/>
            </w:rPr>
            <m:t>MPE(%)= 100∙</m:t>
          </m:r>
          <m:f>
            <m:fPr>
              <m:ctrlPr>
                <w:rPr>
                  <w:rFonts w:ascii="Cambria Math" w:eastAsia="Times New Roman" w:hAnsi="Cambria Math" w:cstheme="minorHAnsi"/>
                  <w:i/>
                  <w:sz w:val="24"/>
                  <w:szCs w:val="24"/>
                  <w:lang w:val="en-US"/>
                </w:rPr>
              </m:ctrlPr>
            </m:fPr>
            <m:num>
              <m:r>
                <w:rPr>
                  <w:rFonts w:ascii="Cambria Math" w:eastAsia="Times New Roman" w:hAnsi="Cambria Math" w:cstheme="minorHAnsi"/>
                  <w:sz w:val="24"/>
                  <w:szCs w:val="24"/>
                  <w:lang w:val="en-US"/>
                </w:rPr>
                <m:t>1</m:t>
              </m:r>
            </m:num>
            <m:den>
              <m:r>
                <w:rPr>
                  <w:rFonts w:ascii="Cambria Math" w:eastAsia="Times New Roman" w:hAnsi="Cambria Math" w:cstheme="minorHAnsi"/>
                  <w:sz w:val="24"/>
                  <w:szCs w:val="24"/>
                  <w:lang w:val="en-US"/>
                </w:rPr>
                <m:t>n</m:t>
              </m:r>
            </m:den>
          </m:f>
          <m:r>
            <w:rPr>
              <w:rFonts w:ascii="Cambria Math" w:eastAsia="Times New Roman" w:hAnsi="Cambria Math" w:cstheme="minorHAnsi"/>
              <w:sz w:val="24"/>
              <w:szCs w:val="24"/>
              <w:lang w:val="en-US"/>
            </w:rPr>
            <m:t xml:space="preserve"> </m:t>
          </m:r>
          <m:nary>
            <m:naryPr>
              <m:chr m:val="∑"/>
              <m:limLoc m:val="subSup"/>
              <m:ctrlPr>
                <w:rPr>
                  <w:rFonts w:ascii="Cambria Math" w:eastAsia="Times New Roman" w:hAnsi="Cambria Math" w:cstheme="minorHAnsi"/>
                  <w:i/>
                  <w:sz w:val="24"/>
                  <w:szCs w:val="24"/>
                  <w:lang w:val="en-US"/>
                </w:rPr>
              </m:ctrlPr>
            </m:naryPr>
            <m:sub>
              <m:r>
                <w:rPr>
                  <w:rFonts w:ascii="Cambria Math" w:eastAsia="Times New Roman" w:hAnsi="Cambria Math" w:cstheme="minorHAnsi"/>
                  <w:sz w:val="24"/>
                  <w:szCs w:val="24"/>
                  <w:lang w:val="en-US"/>
                </w:rPr>
                <m:t>i</m:t>
              </m:r>
            </m:sub>
            <m:sup>
              <m:r>
                <w:rPr>
                  <w:rFonts w:ascii="Cambria Math" w:eastAsia="Times New Roman" w:hAnsi="Cambria Math" w:cstheme="minorHAnsi"/>
                  <w:sz w:val="24"/>
                  <w:szCs w:val="24"/>
                  <w:lang w:val="en-US"/>
                </w:rPr>
                <m:t>n</m:t>
              </m:r>
            </m:sup>
            <m:e>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(PRED</m:t>
                  </m:r>
                </m:e>
                <m:sub>
                  <m:r>
                    <w:rPr>
                      <w:rFonts w:ascii="Cambria Math" w:eastAsia="Times New Roman" w:hAnsi="Cambria Math" w:cstheme="minorHAnsi"/>
                      <w:sz w:val="24"/>
                      <w:szCs w:val="24"/>
                      <w:lang w:val="en-US"/>
                    </w:rPr>
                    <m:t>i</m:t>
                  </m:r>
                </m:sub>
              </m:sSub>
              <m:r>
                <w:rPr>
                  <w:rFonts w:ascii="Cambria Math" w:eastAsia="Times New Roman" w:hAnsi="Cambria Math" w:cstheme="minorHAnsi"/>
                  <w:sz w:val="24"/>
                  <w:szCs w:val="24"/>
                  <w:lang w:val="en-US"/>
                </w:rPr>
                <m:t>-</m:t>
              </m:r>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OBS</m:t>
                  </m:r>
                </m:e>
                <m:sub>
                  <m:r>
                    <w:rPr>
                      <w:rFonts w:ascii="Cambria Math" w:eastAsia="Times New Roman" w:hAnsi="Cambria Math" w:cstheme="minorHAnsi"/>
                      <w:sz w:val="24"/>
                      <w:szCs w:val="24"/>
                      <w:lang w:val="en-US"/>
                    </w:rPr>
                    <m:t>i</m:t>
                  </m:r>
                </m:sub>
              </m:sSub>
              <m:r>
                <w:rPr>
                  <w:rFonts w:ascii="Cambria Math" w:eastAsia="Times New Roman" w:hAnsi="Cambria Math" w:cstheme="minorHAnsi"/>
                  <w:sz w:val="24"/>
                  <w:szCs w:val="24"/>
                  <w:lang w:val="en-US"/>
                </w:rPr>
                <m:t>)/</m:t>
              </m:r>
              <m:sSub>
                <m:sSubPr>
                  <m:ctrlPr>
                    <w:rPr>
                      <w:rFonts w:ascii="Cambria Math" w:eastAsia="Times New Roman" w:hAnsi="Cambria Math" w:cstheme="minorHAnsi"/>
                      <w:i/>
                      <w:sz w:val="24"/>
                      <w:szCs w:val="24"/>
                      <w:lang w:val="en-US"/>
                    </w:rPr>
                  </m:ctrlPr>
                </m:sSubPr>
                <m:e>
                  <m:r>
                    <w:rPr>
                      <w:rFonts w:ascii="Cambria Math" w:eastAsia="Times New Roman" w:hAnsi="Cambria Math" w:cstheme="minorHAnsi"/>
                      <w:sz w:val="24"/>
                      <w:szCs w:val="24"/>
                      <w:lang w:val="en-US"/>
                    </w:rPr>
                    <m:t>OBS</m:t>
                  </m:r>
                </m:e>
                <m:sub>
                  <m:r>
                    <w:rPr>
                      <w:rFonts w:ascii="Cambria Math" w:eastAsia="Times New Roman" w:hAnsi="Cambria Math" w:cstheme="minorHAnsi"/>
                      <w:sz w:val="24"/>
                      <w:szCs w:val="24"/>
                      <w:lang w:val="en-US"/>
                    </w:rPr>
                    <m:t>i</m:t>
                  </m:r>
                </m:sub>
              </m:sSub>
            </m:e>
          </m:nary>
        </m:oMath>
      </m:oMathPara>
    </w:p>
    <w:p w14:paraId="25E1134B" w14:textId="34917269" w:rsidR="00033A26" w:rsidRPr="00B73036" w:rsidRDefault="00033A26" w:rsidP="00033A26">
      <w:pPr>
        <w:spacing w:before="240" w:after="240" w:line="480" w:lineRule="auto"/>
        <w:jc w:val="both"/>
        <w:rPr>
          <w:rFonts w:eastAsia="Times New Roman" w:cstheme="minorHAnsi"/>
          <w:sz w:val="24"/>
          <w:szCs w:val="24"/>
          <w:lang w:val="en-US"/>
        </w:rPr>
      </w:pPr>
      <w:r w:rsidRPr="00B73036">
        <w:rPr>
          <w:rFonts w:eastAsia="Times New Roman" w:cstheme="minorHAnsi"/>
          <w:sz w:val="24"/>
          <w:szCs w:val="24"/>
          <w:lang w:val="en-US"/>
        </w:rPr>
        <w:t xml:space="preserve">Formulas </w:t>
      </w:r>
      <w:proofErr w:type="gramStart"/>
      <w:r w:rsidRPr="00B73036">
        <w:rPr>
          <w:rFonts w:eastAsia="Times New Roman" w:cstheme="minorHAnsi"/>
          <w:sz w:val="24"/>
          <w:szCs w:val="24"/>
          <w:lang w:val="en-US"/>
        </w:rPr>
        <w:t>were internally validated</w:t>
      </w:r>
      <w:proofErr w:type="gramEnd"/>
      <w:r w:rsidRPr="00B73036">
        <w:rPr>
          <w:rFonts w:eastAsia="Times New Roman" w:cstheme="minorHAnsi"/>
          <w:sz w:val="24"/>
          <w:szCs w:val="24"/>
          <w:lang w:val="en-US"/>
        </w:rPr>
        <w:t xml:space="preserve"> with a k-fold cross</w:t>
      </w:r>
      <w:r w:rsidR="009831D0" w:rsidRPr="00B73036">
        <w:rPr>
          <w:rFonts w:eastAsia="Times New Roman" w:cstheme="minorHAnsi"/>
          <w:sz w:val="24"/>
          <w:szCs w:val="24"/>
          <w:u w:val="single"/>
          <w:lang w:val="en-US"/>
        </w:rPr>
        <w:t>-</w:t>
      </w:r>
      <w:r w:rsidRPr="00B73036">
        <w:rPr>
          <w:rFonts w:eastAsia="Times New Roman" w:cstheme="minorHAnsi"/>
          <w:sz w:val="24"/>
          <w:szCs w:val="24"/>
          <w:lang w:val="en-US"/>
        </w:rPr>
        <w:t xml:space="preserve">validation procedure. Data </w:t>
      </w:r>
      <w:proofErr w:type="gramStart"/>
      <w:r w:rsidRPr="00B73036">
        <w:rPr>
          <w:rFonts w:eastAsia="Times New Roman" w:cstheme="minorHAnsi"/>
          <w:sz w:val="24"/>
          <w:szCs w:val="24"/>
          <w:lang w:val="en-US"/>
        </w:rPr>
        <w:t>was split</w:t>
      </w:r>
      <w:proofErr w:type="gramEnd"/>
      <w:r w:rsidRPr="00B73036">
        <w:rPr>
          <w:rFonts w:eastAsia="Times New Roman" w:cstheme="minorHAnsi"/>
          <w:sz w:val="24"/>
          <w:szCs w:val="24"/>
          <w:lang w:val="en-US"/>
        </w:rPr>
        <w:t xml:space="preserve"> in k = 10 parts and the following pr</w:t>
      </w:r>
      <w:r w:rsidR="00F01DD9" w:rsidRPr="00B73036">
        <w:rPr>
          <w:rFonts w:eastAsia="Times New Roman" w:cstheme="minorHAnsi"/>
          <w:sz w:val="24"/>
          <w:szCs w:val="24"/>
          <w:lang w:val="en-US"/>
        </w:rPr>
        <w:t xml:space="preserve">ocedure was applied ten times: </w:t>
      </w:r>
      <w:r w:rsidRPr="00B73036">
        <w:rPr>
          <w:rFonts w:eastAsia="Times New Roman" w:cstheme="minorHAnsi"/>
          <w:sz w:val="24"/>
          <w:szCs w:val="24"/>
          <w:lang w:val="en-US"/>
        </w:rPr>
        <w:t xml:space="preserve">coefficients were re-estimated in NONMEM from </w:t>
      </w:r>
      <w:r w:rsidR="00AA2B87" w:rsidRPr="00B73036">
        <w:rPr>
          <w:rFonts w:eastAsia="Times New Roman" w:cstheme="minorHAnsi"/>
          <w:sz w:val="24"/>
          <w:szCs w:val="24"/>
          <w:u w:val="single"/>
          <w:lang w:val="en-US"/>
        </w:rPr>
        <w:t>90%</w:t>
      </w:r>
      <w:r w:rsidR="00CD5E1D" w:rsidRPr="00B73036">
        <w:rPr>
          <w:rFonts w:eastAsia="Times New Roman" w:cstheme="minorHAnsi"/>
          <w:sz w:val="24"/>
          <w:szCs w:val="24"/>
          <w:u w:val="single"/>
          <w:lang w:val="en-US"/>
        </w:rPr>
        <w:t xml:space="preserve"> </w:t>
      </w:r>
      <w:r w:rsidRPr="00B73036">
        <w:rPr>
          <w:rFonts w:eastAsia="Times New Roman" w:cstheme="minorHAnsi"/>
          <w:sz w:val="24"/>
          <w:szCs w:val="24"/>
          <w:lang w:val="en-US"/>
        </w:rPr>
        <w:t xml:space="preserve">of the initial data, applied to predict CL of the remaining </w:t>
      </w:r>
      <w:r w:rsidR="00AA2B87" w:rsidRPr="00B73036">
        <w:rPr>
          <w:rFonts w:eastAsia="Times New Roman" w:cstheme="minorHAnsi"/>
          <w:sz w:val="24"/>
          <w:szCs w:val="24"/>
          <w:u w:val="single"/>
          <w:lang w:val="en-US"/>
        </w:rPr>
        <w:t>10%</w:t>
      </w:r>
      <w:r w:rsidRPr="00B73036">
        <w:rPr>
          <w:rFonts w:eastAsia="Times New Roman" w:cstheme="minorHAnsi"/>
          <w:sz w:val="24"/>
          <w:szCs w:val="24"/>
          <w:lang w:val="en-US"/>
        </w:rPr>
        <w:t xml:space="preserve">, and compared to the reference clearance. The mean of the 10 RMSE and MPE obtained </w:t>
      </w:r>
      <w:proofErr w:type="gramStart"/>
      <w:r w:rsidRPr="00B73036">
        <w:rPr>
          <w:rFonts w:eastAsia="Times New Roman" w:cstheme="minorHAnsi"/>
          <w:sz w:val="24"/>
          <w:szCs w:val="24"/>
          <w:lang w:val="en-US"/>
        </w:rPr>
        <w:t>was then compared</w:t>
      </w:r>
      <w:proofErr w:type="gramEnd"/>
      <w:r w:rsidRPr="00B73036">
        <w:rPr>
          <w:rFonts w:eastAsia="Times New Roman" w:cstheme="minorHAnsi"/>
          <w:sz w:val="24"/>
          <w:szCs w:val="24"/>
          <w:lang w:val="en-US"/>
        </w:rPr>
        <w:t xml:space="preserve"> to the RMSE and MPE obtained from the original data.</w:t>
      </w:r>
    </w:p>
    <w:p w14:paraId="46ADFB63" w14:textId="77777777" w:rsidR="00033A26" w:rsidRPr="00B73036" w:rsidRDefault="00033A26" w:rsidP="00033A26">
      <w:pPr>
        <w:pStyle w:val="Paragraphedeliste"/>
        <w:numPr>
          <w:ilvl w:val="0"/>
          <w:numId w:val="2"/>
        </w:numPr>
        <w:rPr>
          <w:rFonts w:cstheme="minorHAnsi"/>
          <w:sz w:val="24"/>
          <w:szCs w:val="24"/>
          <w:lang w:val="en-US"/>
        </w:rPr>
      </w:pPr>
      <w:r w:rsidRPr="00B73036">
        <w:rPr>
          <w:rFonts w:cstheme="minorHAnsi"/>
          <w:sz w:val="24"/>
          <w:szCs w:val="24"/>
          <w:lang w:val="en-US"/>
        </w:rPr>
        <w:t>Results</w:t>
      </w:r>
    </w:p>
    <w:p w14:paraId="1B91E853" w14:textId="77777777" w:rsidR="00033A26" w:rsidRPr="00B73036" w:rsidRDefault="00033A26" w:rsidP="00033A26">
      <w:pPr>
        <w:pStyle w:val="Paragraphedeliste"/>
        <w:numPr>
          <w:ilvl w:val="1"/>
          <w:numId w:val="2"/>
        </w:numPr>
        <w:rPr>
          <w:rFonts w:cstheme="minorHAnsi"/>
          <w:sz w:val="24"/>
          <w:szCs w:val="24"/>
          <w:lang w:val="en-US"/>
        </w:rPr>
      </w:pPr>
      <w:r w:rsidRPr="00B73036">
        <w:rPr>
          <w:rFonts w:cstheme="minorHAnsi"/>
          <w:sz w:val="24"/>
          <w:szCs w:val="24"/>
          <w:lang w:val="en-US"/>
        </w:rPr>
        <w:lastRenderedPageBreak/>
        <w:t>Internal validation of the formula</w:t>
      </w:r>
    </w:p>
    <w:p w14:paraId="478A6615" w14:textId="4F9D515B" w:rsidR="00F01DD9" w:rsidRPr="00B73036" w:rsidRDefault="00033A26" w:rsidP="00033A26">
      <w:pPr>
        <w:spacing w:after="0" w:line="480" w:lineRule="auto"/>
        <w:jc w:val="both"/>
        <w:rPr>
          <w:rFonts w:eastAsia="Times New Roman" w:cstheme="minorHAnsi"/>
          <w:noProof/>
          <w:sz w:val="24"/>
          <w:szCs w:val="24"/>
          <w:lang w:val="en-US" w:eastAsia="fr-FR"/>
        </w:rPr>
      </w:pPr>
      <w:r w:rsidRPr="00B73036">
        <w:rPr>
          <w:rFonts w:eastAsia="Times New Roman" w:cstheme="minorHAnsi"/>
          <w:sz w:val="24"/>
          <w:szCs w:val="24"/>
          <w:lang w:val="en-US"/>
        </w:rPr>
        <w:t>The predictive performance</w:t>
      </w:r>
      <w:r w:rsidR="007F1810" w:rsidRPr="00B73036">
        <w:rPr>
          <w:rFonts w:eastAsia="Times New Roman" w:cstheme="minorHAnsi"/>
          <w:sz w:val="24"/>
          <w:szCs w:val="24"/>
          <w:u w:val="single"/>
          <w:lang w:val="en-US"/>
        </w:rPr>
        <w:t>s</w:t>
      </w:r>
      <w:r w:rsidRPr="00B73036">
        <w:rPr>
          <w:rFonts w:eastAsia="Times New Roman" w:cstheme="minorHAnsi"/>
          <w:sz w:val="24"/>
          <w:szCs w:val="24"/>
          <w:lang w:val="en-US"/>
        </w:rPr>
        <w:t xml:space="preserve"> of these formulas were RMSE = 2.22 L/h and MPE = +3.5% for the first (n = 133 patients) and RMSE = 1.91 L/h and MPE = +2.4% for the second (n = 113 patients). The internal k-fold cross</w:t>
      </w:r>
      <w:r w:rsidR="009831D0" w:rsidRPr="00B73036">
        <w:rPr>
          <w:rFonts w:eastAsia="Times New Roman" w:cstheme="minorHAnsi"/>
          <w:sz w:val="24"/>
          <w:szCs w:val="24"/>
          <w:u w:val="single"/>
          <w:lang w:val="en-US"/>
        </w:rPr>
        <w:t>-</w:t>
      </w:r>
      <w:r w:rsidRPr="00B73036">
        <w:rPr>
          <w:rFonts w:eastAsia="Times New Roman" w:cstheme="minorHAnsi"/>
          <w:sz w:val="24"/>
          <w:szCs w:val="24"/>
          <w:lang w:val="en-US"/>
        </w:rPr>
        <w:t>validation procedure found consistent estimates of the formula coefficients, ranging within a +/- 4% interval around the value corresponding to the analysis of the whole dataset (</w:t>
      </w:r>
      <w:r w:rsidR="00F01DD9" w:rsidRPr="00B73036">
        <w:rPr>
          <w:rFonts w:eastAsia="Times New Roman" w:cstheme="minorHAnsi"/>
          <w:sz w:val="24"/>
          <w:szCs w:val="24"/>
          <w:lang w:val="en-US"/>
        </w:rPr>
        <w:t>Supplementary Figure 1</w:t>
      </w:r>
      <w:r w:rsidRPr="00B73036">
        <w:rPr>
          <w:rFonts w:eastAsia="Times New Roman" w:cstheme="minorHAnsi"/>
          <w:sz w:val="24"/>
          <w:szCs w:val="24"/>
          <w:lang w:val="en-US"/>
        </w:rPr>
        <w:t>). Consistently, mean RMSE and MPE were close to the original, with RMSE = 2.06 L/h and MPE = +3.3% for the full-cohort equation, and RMSE = 1.82 L/h and MPE = +2.5% for the genetics cohort equation.</w:t>
      </w:r>
      <w:r w:rsidRPr="00B73036">
        <w:rPr>
          <w:rFonts w:eastAsia="Times New Roman" w:cstheme="minorHAnsi"/>
          <w:noProof/>
          <w:sz w:val="24"/>
          <w:szCs w:val="24"/>
          <w:lang w:val="en-US" w:eastAsia="fr-FR"/>
        </w:rPr>
        <w:t xml:space="preserve"> </w:t>
      </w:r>
    </w:p>
    <w:p w14:paraId="237B1ABB" w14:textId="77777777" w:rsidR="00033A26" w:rsidRPr="00B73036" w:rsidRDefault="00033A26" w:rsidP="00033A26">
      <w:pPr>
        <w:spacing w:after="0" w:line="480" w:lineRule="auto"/>
        <w:jc w:val="both"/>
        <w:rPr>
          <w:rFonts w:eastAsia="Times New Roman" w:cstheme="minorHAnsi"/>
          <w:sz w:val="24"/>
          <w:szCs w:val="24"/>
          <w:lang w:val="en-US"/>
        </w:rPr>
      </w:pPr>
      <w:r w:rsidRPr="00B73036">
        <w:rPr>
          <w:rFonts w:eastAsia="Times New Roman" w:cstheme="minorHAnsi"/>
          <w:noProof/>
          <w:sz w:val="24"/>
          <w:szCs w:val="24"/>
          <w:lang w:eastAsia="fr-FR"/>
        </w:rPr>
        <w:drawing>
          <wp:inline distT="0" distB="0" distL="0" distR="0" wp14:anchorId="35A08F04" wp14:editId="6B9B61F2">
            <wp:extent cx="5760085" cy="2153285"/>
            <wp:effectExtent l="0" t="0" r="0" b="0"/>
            <wp:docPr id="16" name="Image 16" descr="Y:\PK-PUANGPETCH-APICHAYA\BUSULFAN\COMMUNICATION\figures\kfold_arti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PK-PUANGPETCH-APICHAYA\BUSULFAN\COMMUNICATION\figures\kfold_artic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2153285"/>
                    </a:xfrm>
                    <a:prstGeom prst="rect">
                      <a:avLst/>
                    </a:prstGeom>
                    <a:noFill/>
                    <a:ln>
                      <a:noFill/>
                    </a:ln>
                  </pic:spPr>
                </pic:pic>
              </a:graphicData>
            </a:graphic>
          </wp:inline>
        </w:drawing>
      </w:r>
    </w:p>
    <w:p w14:paraId="44BD4F60" w14:textId="4ADF0561" w:rsidR="00033A26" w:rsidRPr="00B73036" w:rsidRDefault="00F01DD9" w:rsidP="00033A26">
      <w:pPr>
        <w:spacing w:after="0" w:line="276" w:lineRule="auto"/>
        <w:jc w:val="both"/>
        <w:rPr>
          <w:rFonts w:eastAsia="Times New Roman" w:cstheme="minorHAnsi"/>
          <w:i/>
          <w:sz w:val="24"/>
          <w:szCs w:val="24"/>
          <w:lang w:val="en-US"/>
        </w:rPr>
      </w:pPr>
      <w:r w:rsidRPr="00B73036">
        <w:rPr>
          <w:rFonts w:eastAsia="Times New Roman" w:cstheme="minorHAnsi"/>
          <w:b/>
          <w:sz w:val="24"/>
          <w:szCs w:val="24"/>
          <w:lang w:val="en-US"/>
        </w:rPr>
        <w:t>Supplementary Figure 1</w:t>
      </w:r>
      <w:r w:rsidR="00033A26" w:rsidRPr="00B73036">
        <w:rPr>
          <w:rFonts w:eastAsia="Times New Roman" w:cstheme="minorHAnsi"/>
          <w:i/>
          <w:sz w:val="24"/>
          <w:szCs w:val="24"/>
          <w:lang w:val="en-US"/>
        </w:rPr>
        <w:t xml:space="preserve">. Parameter estimates of the typical value of clearance (TVCL), and of the effects of body weight (BW_CL), day of treatment (DAY_CLV), malignancy (MALIGN_CL) and GSTA1 mutation (GSTA1_CL) on clearance, obtained during the K-fold procedure. Values are relative to original estimates. Upper panel: full cohort covariate model. Lower panel: </w:t>
      </w:r>
      <w:proofErr w:type="spellStart"/>
      <w:r w:rsidR="00033A26" w:rsidRPr="00B73036">
        <w:rPr>
          <w:rFonts w:eastAsia="Times New Roman" w:cstheme="minorHAnsi"/>
          <w:i/>
          <w:sz w:val="24"/>
          <w:szCs w:val="24"/>
          <w:lang w:val="en-US"/>
        </w:rPr>
        <w:t>pharmacogenetics</w:t>
      </w:r>
      <w:proofErr w:type="spellEnd"/>
      <w:r w:rsidR="00033A26" w:rsidRPr="00B73036">
        <w:rPr>
          <w:rFonts w:eastAsia="Times New Roman" w:cstheme="minorHAnsi"/>
          <w:i/>
          <w:sz w:val="24"/>
          <w:szCs w:val="24"/>
          <w:lang w:val="en-US"/>
        </w:rPr>
        <w:t xml:space="preserve"> cohort model</w:t>
      </w:r>
      <w:r w:rsidR="00181C7C" w:rsidRPr="00B73036">
        <w:rPr>
          <w:rFonts w:eastAsia="Times New Roman" w:cstheme="minorHAnsi"/>
          <w:i/>
          <w:sz w:val="24"/>
          <w:szCs w:val="24"/>
          <w:lang w:val="en-US"/>
        </w:rPr>
        <w:t xml:space="preserve">. </w:t>
      </w:r>
    </w:p>
    <w:p w14:paraId="2D9AEEBE" w14:textId="77777777" w:rsidR="00C833E2" w:rsidRPr="00B73036" w:rsidRDefault="00C833E2" w:rsidP="00033A26">
      <w:pPr>
        <w:spacing w:after="0" w:line="276" w:lineRule="auto"/>
        <w:jc w:val="both"/>
        <w:rPr>
          <w:rFonts w:eastAsia="Times New Roman" w:cstheme="minorHAnsi"/>
          <w:i/>
          <w:sz w:val="24"/>
          <w:szCs w:val="24"/>
          <w:lang w:val="en-US"/>
        </w:rPr>
      </w:pPr>
    </w:p>
    <w:p w14:paraId="2BC5B2D6" w14:textId="77777777" w:rsidR="00C833E2" w:rsidRPr="00B73036" w:rsidRDefault="00C833E2" w:rsidP="00033A26">
      <w:pPr>
        <w:spacing w:after="0" w:line="276" w:lineRule="auto"/>
        <w:jc w:val="both"/>
        <w:rPr>
          <w:rFonts w:eastAsia="Times New Roman" w:cstheme="minorHAnsi"/>
          <w:i/>
          <w:sz w:val="24"/>
          <w:szCs w:val="24"/>
          <w:lang w:val="en-US"/>
        </w:rPr>
      </w:pPr>
    </w:p>
    <w:p w14:paraId="5A6A7DFA" w14:textId="77777777" w:rsidR="00C833E2" w:rsidRPr="00B73036" w:rsidRDefault="00C833E2" w:rsidP="00033A26">
      <w:pPr>
        <w:spacing w:after="0" w:line="276" w:lineRule="auto"/>
        <w:jc w:val="both"/>
        <w:rPr>
          <w:rFonts w:eastAsia="Times New Roman" w:cstheme="minorHAnsi"/>
          <w:i/>
          <w:sz w:val="24"/>
          <w:szCs w:val="24"/>
          <w:lang w:val="en-US"/>
        </w:rPr>
      </w:pPr>
    </w:p>
    <w:p w14:paraId="426FCF8A" w14:textId="77777777" w:rsidR="00F01DD9" w:rsidRPr="00B73036" w:rsidRDefault="00F01DD9" w:rsidP="00A94E32">
      <w:pPr>
        <w:pStyle w:val="Bibliographie"/>
        <w:rPr>
          <w:rFonts w:cstheme="minorHAnsi"/>
          <w:sz w:val="24"/>
          <w:szCs w:val="24"/>
          <w:lang w:val="en-US"/>
        </w:rPr>
      </w:pPr>
    </w:p>
    <w:p w14:paraId="5679B44D" w14:textId="77777777" w:rsidR="00F01DD9" w:rsidRPr="00B73036" w:rsidRDefault="00F01DD9">
      <w:pPr>
        <w:rPr>
          <w:rFonts w:cstheme="minorHAnsi"/>
          <w:sz w:val="24"/>
          <w:szCs w:val="24"/>
          <w:lang w:val="en-US"/>
        </w:rPr>
      </w:pPr>
      <w:r w:rsidRPr="00B73036">
        <w:rPr>
          <w:rFonts w:cstheme="minorHAnsi"/>
          <w:sz w:val="24"/>
          <w:szCs w:val="24"/>
          <w:lang w:val="en-US"/>
        </w:rPr>
        <w:br w:type="page"/>
      </w:r>
    </w:p>
    <w:p w14:paraId="1606DFA4" w14:textId="77777777" w:rsidR="00F01DD9" w:rsidRPr="00B73036" w:rsidRDefault="00F01DD9" w:rsidP="00F01DD9">
      <w:pPr>
        <w:rPr>
          <w:rFonts w:cstheme="minorHAnsi"/>
          <w:sz w:val="24"/>
          <w:szCs w:val="24"/>
          <w:lang w:val="en-US"/>
        </w:rPr>
      </w:pPr>
      <w:r w:rsidRPr="00B73036">
        <w:rPr>
          <w:rFonts w:cstheme="minorHAnsi"/>
          <w:sz w:val="24"/>
          <w:szCs w:val="24"/>
          <w:lang w:val="en-US"/>
        </w:rPr>
        <w:lastRenderedPageBreak/>
        <w:t>Bibliography</w:t>
      </w:r>
    </w:p>
    <w:p w14:paraId="20BE5F1C" w14:textId="68DE2EE8" w:rsidR="00F01DD9" w:rsidRPr="00B73036" w:rsidRDefault="00A94E32" w:rsidP="00F01DD9">
      <w:pPr>
        <w:pStyle w:val="Bibliographie"/>
        <w:rPr>
          <w:rFonts w:cstheme="minorHAnsi"/>
          <w:sz w:val="24"/>
          <w:szCs w:val="24"/>
          <w:lang w:val="en-US"/>
        </w:rPr>
      </w:pPr>
      <w:r w:rsidRPr="00B73036">
        <w:rPr>
          <w:rFonts w:cstheme="minorHAnsi"/>
          <w:sz w:val="24"/>
          <w:szCs w:val="24"/>
          <w:lang w:val="en-US"/>
        </w:rPr>
        <w:fldChar w:fldCharType="begin"/>
      </w:r>
      <w:r w:rsidR="00F01DD9" w:rsidRPr="00B73036">
        <w:rPr>
          <w:rFonts w:cstheme="minorHAnsi"/>
          <w:sz w:val="24"/>
          <w:szCs w:val="24"/>
          <w:lang w:val="en-US"/>
        </w:rPr>
        <w:instrText xml:space="preserve"> ADDIN ZOTERO_BIBL {"uncited":[],"omitted":[],"custom":[]} CSL_BIBLIOGRAPHY </w:instrText>
      </w:r>
      <w:r w:rsidRPr="00B73036">
        <w:rPr>
          <w:rFonts w:cstheme="minorHAnsi"/>
          <w:sz w:val="24"/>
          <w:szCs w:val="24"/>
          <w:lang w:val="en-US"/>
        </w:rPr>
        <w:fldChar w:fldCharType="separate"/>
      </w:r>
      <w:r w:rsidR="00F01DD9" w:rsidRPr="00B73036">
        <w:rPr>
          <w:rFonts w:cstheme="minorHAnsi"/>
          <w:sz w:val="24"/>
          <w:szCs w:val="24"/>
          <w:lang w:val="en-US"/>
        </w:rPr>
        <w:t xml:space="preserve">1. Nguyen AH, Biswas M, Puangpetch A, Prommas S, Pakakasama S, Anurathapan U, et al. Effect of GSTA1 Variants on Busulfan-Based Conditioning Regimen Prior to Allogenic Hematopoietic Stem-Cell Transplantation in Pediatric Asians. </w:t>
      </w:r>
      <w:r w:rsidR="00F01DD9" w:rsidRPr="00B73036">
        <w:rPr>
          <w:rFonts w:cstheme="minorHAnsi"/>
          <w:i/>
          <w:iCs/>
          <w:sz w:val="24"/>
          <w:szCs w:val="24"/>
          <w:lang w:val="en-US"/>
        </w:rPr>
        <w:t>Pharmaceutics</w:t>
      </w:r>
      <w:r w:rsidR="00F01DD9" w:rsidRPr="00B73036">
        <w:rPr>
          <w:rFonts w:cstheme="minorHAnsi"/>
          <w:sz w:val="24"/>
          <w:szCs w:val="24"/>
          <w:lang w:val="en-US"/>
        </w:rPr>
        <w:t xml:space="preserve">. 2022;14:401. </w:t>
      </w:r>
    </w:p>
    <w:p w14:paraId="4253886B" w14:textId="77777777" w:rsidR="00F01DD9" w:rsidRPr="00B73036" w:rsidRDefault="00F01DD9" w:rsidP="00F01DD9">
      <w:pPr>
        <w:pStyle w:val="Bibliographie"/>
        <w:rPr>
          <w:rFonts w:cstheme="minorHAnsi"/>
          <w:sz w:val="24"/>
          <w:szCs w:val="24"/>
        </w:rPr>
      </w:pPr>
      <w:r w:rsidRPr="00B73036">
        <w:rPr>
          <w:rFonts w:cstheme="minorHAnsi"/>
          <w:sz w:val="24"/>
          <w:szCs w:val="24"/>
          <w:lang w:val="en-US"/>
        </w:rPr>
        <w:t xml:space="preserve">2. Lawson R, Staatz CE, Fraser CJ, Ramachandran S, Teague L, Mitchell R, et al. Population pharmacokinetic model for once‐daily intravenous busulfan in pediatric subjects describing </w:t>
      </w:r>
      <w:r w:rsidRPr="00B73036">
        <w:rPr>
          <w:rFonts w:cstheme="minorHAnsi"/>
          <w:smallCaps/>
          <w:sz w:val="24"/>
          <w:szCs w:val="24"/>
          <w:lang w:val="en-US"/>
        </w:rPr>
        <w:t>time‐associated</w:t>
      </w:r>
      <w:r w:rsidRPr="00B73036">
        <w:rPr>
          <w:rFonts w:cstheme="minorHAnsi"/>
          <w:sz w:val="24"/>
          <w:szCs w:val="24"/>
          <w:lang w:val="en-US"/>
        </w:rPr>
        <w:t xml:space="preserve"> clearance. </w:t>
      </w:r>
      <w:r w:rsidRPr="00B73036">
        <w:rPr>
          <w:rFonts w:cstheme="minorHAnsi"/>
          <w:i/>
          <w:iCs/>
          <w:sz w:val="24"/>
          <w:szCs w:val="24"/>
        </w:rPr>
        <w:t>CPT Pharmacom &amp; Syst Pharma</w:t>
      </w:r>
      <w:r w:rsidRPr="00B73036">
        <w:rPr>
          <w:rFonts w:cstheme="minorHAnsi"/>
          <w:sz w:val="24"/>
          <w:szCs w:val="24"/>
        </w:rPr>
        <w:t xml:space="preserve">. 2022;11:1002–17. </w:t>
      </w:r>
    </w:p>
    <w:p w14:paraId="19A54325" w14:textId="77777777" w:rsidR="00F01DD9" w:rsidRPr="00B73036" w:rsidRDefault="00F01DD9" w:rsidP="00F01DD9">
      <w:pPr>
        <w:pStyle w:val="Bibliographie"/>
        <w:rPr>
          <w:rFonts w:cstheme="minorHAnsi"/>
          <w:sz w:val="24"/>
          <w:szCs w:val="24"/>
          <w:lang w:val="en-US"/>
        </w:rPr>
      </w:pPr>
      <w:r w:rsidRPr="00B73036">
        <w:rPr>
          <w:rFonts w:cstheme="minorHAnsi"/>
          <w:sz w:val="24"/>
          <w:szCs w:val="24"/>
        </w:rPr>
        <w:t xml:space="preserve">3. Poinsignon V, Faivre L, Nguyen L, Neven B, Broutin S, Moshous D, et al. </w:t>
      </w:r>
      <w:r w:rsidRPr="00B73036">
        <w:rPr>
          <w:rFonts w:cstheme="minorHAnsi"/>
          <w:sz w:val="24"/>
          <w:szCs w:val="24"/>
          <w:lang w:val="en-US"/>
        </w:rPr>
        <w:t>New dosing nomogram and population pharmacokinetic model for young and very young children receiving busulfan for hematopoietic stem cell transplantation conditioning. Pediatr Blood Cancer [Internet]. 2020 [cited 2023 Feb 27];67. Available from: https://onlinelibrary.wiley.com/doi/10.1002/pbc.28603</w:t>
      </w:r>
    </w:p>
    <w:p w14:paraId="740DA6D9" w14:textId="77777777" w:rsidR="00F01DD9" w:rsidRPr="00B73036" w:rsidRDefault="00F01DD9" w:rsidP="00F01DD9">
      <w:pPr>
        <w:pStyle w:val="Bibliographie"/>
        <w:rPr>
          <w:rFonts w:cstheme="minorHAnsi"/>
          <w:sz w:val="24"/>
          <w:szCs w:val="24"/>
          <w:lang w:val="en-US"/>
        </w:rPr>
      </w:pPr>
      <w:r w:rsidRPr="00B73036">
        <w:rPr>
          <w:rFonts w:cstheme="minorHAnsi"/>
          <w:sz w:val="24"/>
          <w:szCs w:val="24"/>
          <w:lang w:val="en-US"/>
        </w:rPr>
        <w:t xml:space="preserve">4. Bergstrand M, Hooker AC, Wallin JE, Karlsson MO. Prediction-corrected visual predictive checks for diagnosing nonlinear mixed-effects models. </w:t>
      </w:r>
      <w:r w:rsidRPr="00B73036">
        <w:rPr>
          <w:rFonts w:cstheme="minorHAnsi"/>
          <w:i/>
          <w:iCs/>
          <w:sz w:val="24"/>
          <w:szCs w:val="24"/>
          <w:lang w:val="en-US"/>
        </w:rPr>
        <w:t>AAPS J</w:t>
      </w:r>
      <w:r w:rsidRPr="00B73036">
        <w:rPr>
          <w:rFonts w:cstheme="minorHAnsi"/>
          <w:sz w:val="24"/>
          <w:szCs w:val="24"/>
          <w:lang w:val="en-US"/>
        </w:rPr>
        <w:t xml:space="preserve">. 2011;13:143–51. </w:t>
      </w:r>
    </w:p>
    <w:p w14:paraId="4AC6CCD1" w14:textId="2EBA5DDD" w:rsidR="00F01DD9" w:rsidRPr="00B73036" w:rsidRDefault="00F01DD9" w:rsidP="00F01DD9">
      <w:pPr>
        <w:pStyle w:val="Bibliographie"/>
        <w:rPr>
          <w:rFonts w:cstheme="minorHAnsi"/>
          <w:sz w:val="24"/>
          <w:szCs w:val="24"/>
        </w:rPr>
      </w:pPr>
      <w:r w:rsidRPr="00B73036">
        <w:rPr>
          <w:rFonts w:cstheme="minorHAnsi"/>
          <w:sz w:val="24"/>
          <w:szCs w:val="24"/>
          <w:lang w:val="en-US"/>
        </w:rPr>
        <w:t xml:space="preserve">5. Lindbom L, Ribbing J, Jonsson EN. Perl-speaks-NONMEM (PsN)—a Perl module for NONMEM related programming. </w:t>
      </w:r>
      <w:r w:rsidR="00AA2B87" w:rsidRPr="00B73036">
        <w:rPr>
          <w:rFonts w:cstheme="minorHAnsi"/>
          <w:i/>
          <w:iCs/>
          <w:sz w:val="24"/>
          <w:szCs w:val="24"/>
        </w:rPr>
        <w:t>Comput. Methods Programs Biomed</w:t>
      </w:r>
      <w:r w:rsidRPr="00B73036">
        <w:rPr>
          <w:rFonts w:cstheme="minorHAnsi"/>
          <w:sz w:val="24"/>
          <w:szCs w:val="24"/>
        </w:rPr>
        <w:t xml:space="preserve">. 2004;75:85–94. </w:t>
      </w:r>
    </w:p>
    <w:p w14:paraId="47AC3CAD" w14:textId="77777777" w:rsidR="00033A26" w:rsidRPr="001606F1" w:rsidRDefault="00A94E32" w:rsidP="00033A26">
      <w:pPr>
        <w:rPr>
          <w:rFonts w:cstheme="minorHAnsi"/>
          <w:sz w:val="24"/>
          <w:szCs w:val="24"/>
          <w:lang w:val="en-US"/>
        </w:rPr>
      </w:pPr>
      <w:r w:rsidRPr="00B73036">
        <w:rPr>
          <w:rFonts w:cstheme="minorHAnsi"/>
          <w:sz w:val="24"/>
          <w:szCs w:val="24"/>
          <w:lang w:val="en-US"/>
        </w:rPr>
        <w:fldChar w:fldCharType="end"/>
      </w:r>
    </w:p>
    <w:sectPr w:rsidR="00033A26" w:rsidRPr="001606F1">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BDE82D" w16cex:dateUtc="2024-02-04T17:20:00Z"/>
  <w16cex:commentExtensible w16cex:durableId="113DB982" w16cex:dateUtc="2024-02-04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DC2D1" w16cid:durableId="63BDE82D"/>
  <w16cid:commentId w16cid:paraId="06E5FA35" w16cid:durableId="3F6F5C12"/>
  <w16cid:commentId w16cid:paraId="114F4C41" w16cid:durableId="113DB982"/>
  <w16cid:commentId w16cid:paraId="2BAEB304" w16cid:durableId="728B7B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49216" w14:textId="77777777" w:rsidR="004B067F" w:rsidRDefault="004B067F" w:rsidP="00CD5E1D">
      <w:pPr>
        <w:spacing w:after="0" w:line="240" w:lineRule="auto"/>
      </w:pPr>
      <w:r>
        <w:separator/>
      </w:r>
    </w:p>
  </w:endnote>
  <w:endnote w:type="continuationSeparator" w:id="0">
    <w:p w14:paraId="6343A17E" w14:textId="77777777" w:rsidR="004B067F" w:rsidRDefault="004B067F" w:rsidP="00CD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940250"/>
      <w:docPartObj>
        <w:docPartGallery w:val="Page Numbers (Bottom of Page)"/>
        <w:docPartUnique/>
      </w:docPartObj>
    </w:sdtPr>
    <w:sdtEndPr/>
    <w:sdtContent>
      <w:p w14:paraId="12559721" w14:textId="25627C79" w:rsidR="00CD5E1D" w:rsidRDefault="00CD5E1D">
        <w:pPr>
          <w:pStyle w:val="Pieddepage"/>
          <w:jc w:val="right"/>
        </w:pPr>
        <w:r>
          <w:fldChar w:fldCharType="begin"/>
        </w:r>
        <w:r>
          <w:instrText>PAGE   \* MERGEFORMAT</w:instrText>
        </w:r>
        <w:r>
          <w:fldChar w:fldCharType="separate"/>
        </w:r>
        <w:r w:rsidR="00B73036">
          <w:rPr>
            <w:noProof/>
          </w:rPr>
          <w:t>5</w:t>
        </w:r>
        <w:r>
          <w:fldChar w:fldCharType="end"/>
        </w:r>
      </w:p>
    </w:sdtContent>
  </w:sdt>
  <w:p w14:paraId="2D180E76" w14:textId="77777777" w:rsidR="00CD5E1D" w:rsidRDefault="00CD5E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1CE47" w14:textId="77777777" w:rsidR="004B067F" w:rsidRDefault="004B067F" w:rsidP="00CD5E1D">
      <w:pPr>
        <w:spacing w:after="0" w:line="240" w:lineRule="auto"/>
      </w:pPr>
      <w:r>
        <w:separator/>
      </w:r>
    </w:p>
  </w:footnote>
  <w:footnote w:type="continuationSeparator" w:id="0">
    <w:p w14:paraId="462E45EB" w14:textId="77777777" w:rsidR="004B067F" w:rsidRDefault="004B067F" w:rsidP="00CD5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1051C"/>
    <w:multiLevelType w:val="multilevel"/>
    <w:tmpl w:val="AFA6FBB4"/>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60A2ECE"/>
    <w:multiLevelType w:val="multilevel"/>
    <w:tmpl w:val="AFA6FBB4"/>
    <w:styleLink w:val="StyleThese"/>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C0"/>
    <w:rsid w:val="0001199F"/>
    <w:rsid w:val="00033A26"/>
    <w:rsid w:val="000825BE"/>
    <w:rsid w:val="001606F1"/>
    <w:rsid w:val="00172A13"/>
    <w:rsid w:val="00181C7C"/>
    <w:rsid w:val="002823B0"/>
    <w:rsid w:val="00446731"/>
    <w:rsid w:val="00470190"/>
    <w:rsid w:val="004B067F"/>
    <w:rsid w:val="004D34D7"/>
    <w:rsid w:val="00505880"/>
    <w:rsid w:val="00536FC0"/>
    <w:rsid w:val="00540DD6"/>
    <w:rsid w:val="00565699"/>
    <w:rsid w:val="005B7009"/>
    <w:rsid w:val="005D0BAA"/>
    <w:rsid w:val="00695E11"/>
    <w:rsid w:val="006E29C0"/>
    <w:rsid w:val="00731103"/>
    <w:rsid w:val="007C7834"/>
    <w:rsid w:val="007F1810"/>
    <w:rsid w:val="0088522D"/>
    <w:rsid w:val="009003FD"/>
    <w:rsid w:val="00942498"/>
    <w:rsid w:val="00942A71"/>
    <w:rsid w:val="009831D0"/>
    <w:rsid w:val="009C4B2F"/>
    <w:rsid w:val="00A42283"/>
    <w:rsid w:val="00A94E32"/>
    <w:rsid w:val="00AA2B87"/>
    <w:rsid w:val="00AF28B4"/>
    <w:rsid w:val="00B2722A"/>
    <w:rsid w:val="00B73036"/>
    <w:rsid w:val="00B953F7"/>
    <w:rsid w:val="00BA17EA"/>
    <w:rsid w:val="00BC2567"/>
    <w:rsid w:val="00BF454C"/>
    <w:rsid w:val="00C60619"/>
    <w:rsid w:val="00C833E2"/>
    <w:rsid w:val="00CA1395"/>
    <w:rsid w:val="00CD5E1D"/>
    <w:rsid w:val="00D665A8"/>
    <w:rsid w:val="00D66EB1"/>
    <w:rsid w:val="00DB5806"/>
    <w:rsid w:val="00EC15A7"/>
    <w:rsid w:val="00F01DD9"/>
    <w:rsid w:val="00F909F6"/>
    <w:rsid w:val="00FF4FCC"/>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2FCF"/>
  <w15:chartTrackingRefBased/>
  <w15:docId w15:val="{5394768F-C971-4E79-AFE5-C55D8A82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These">
    <w:name w:val="StyleThese"/>
    <w:uiPriority w:val="99"/>
    <w:rsid w:val="00CA1395"/>
    <w:pPr>
      <w:numPr>
        <w:numId w:val="1"/>
      </w:numPr>
    </w:pPr>
  </w:style>
  <w:style w:type="paragraph" w:styleId="Paragraphedeliste">
    <w:name w:val="List Paragraph"/>
    <w:basedOn w:val="Normal"/>
    <w:uiPriority w:val="34"/>
    <w:qFormat/>
    <w:rsid w:val="00D66EB1"/>
    <w:pPr>
      <w:ind w:left="720"/>
      <w:contextualSpacing/>
    </w:pPr>
  </w:style>
  <w:style w:type="paragraph" w:styleId="Bibliographie">
    <w:name w:val="Bibliography"/>
    <w:basedOn w:val="Normal"/>
    <w:next w:val="Normal"/>
    <w:uiPriority w:val="37"/>
    <w:unhideWhenUsed/>
    <w:rsid w:val="00A94E32"/>
    <w:pPr>
      <w:spacing w:after="240" w:line="240" w:lineRule="auto"/>
    </w:pPr>
  </w:style>
  <w:style w:type="paragraph" w:styleId="Rvision">
    <w:name w:val="Revision"/>
    <w:hidden/>
    <w:uiPriority w:val="99"/>
    <w:semiHidden/>
    <w:rsid w:val="00FF4FCC"/>
    <w:pPr>
      <w:spacing w:after="0" w:line="240" w:lineRule="auto"/>
    </w:pPr>
  </w:style>
  <w:style w:type="paragraph" w:styleId="Textedebulles">
    <w:name w:val="Balloon Text"/>
    <w:basedOn w:val="Normal"/>
    <w:link w:val="TextedebullesCar"/>
    <w:uiPriority w:val="99"/>
    <w:semiHidden/>
    <w:unhideWhenUsed/>
    <w:rsid w:val="00D665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65A8"/>
    <w:rPr>
      <w:rFonts w:ascii="Segoe UI" w:hAnsi="Segoe UI" w:cs="Segoe UI"/>
      <w:sz w:val="18"/>
      <w:szCs w:val="18"/>
    </w:rPr>
  </w:style>
  <w:style w:type="paragraph" w:styleId="En-tte">
    <w:name w:val="header"/>
    <w:basedOn w:val="Normal"/>
    <w:link w:val="En-tteCar"/>
    <w:uiPriority w:val="99"/>
    <w:unhideWhenUsed/>
    <w:rsid w:val="00CD5E1D"/>
    <w:pPr>
      <w:tabs>
        <w:tab w:val="center" w:pos="4536"/>
        <w:tab w:val="right" w:pos="9072"/>
      </w:tabs>
      <w:spacing w:after="0" w:line="240" w:lineRule="auto"/>
    </w:pPr>
  </w:style>
  <w:style w:type="character" w:customStyle="1" w:styleId="En-tteCar">
    <w:name w:val="En-tête Car"/>
    <w:basedOn w:val="Policepardfaut"/>
    <w:link w:val="En-tte"/>
    <w:uiPriority w:val="99"/>
    <w:rsid w:val="00CD5E1D"/>
  </w:style>
  <w:style w:type="paragraph" w:styleId="Pieddepage">
    <w:name w:val="footer"/>
    <w:basedOn w:val="Normal"/>
    <w:link w:val="PieddepageCar"/>
    <w:uiPriority w:val="99"/>
    <w:unhideWhenUsed/>
    <w:rsid w:val="00CD5E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E1D"/>
  </w:style>
  <w:style w:type="character" w:styleId="Marquedecommentaire">
    <w:name w:val="annotation reference"/>
    <w:basedOn w:val="Policepardfaut"/>
    <w:uiPriority w:val="99"/>
    <w:semiHidden/>
    <w:unhideWhenUsed/>
    <w:rsid w:val="00AA2B87"/>
    <w:rPr>
      <w:sz w:val="16"/>
      <w:szCs w:val="16"/>
    </w:rPr>
  </w:style>
  <w:style w:type="paragraph" w:styleId="Commentaire">
    <w:name w:val="annotation text"/>
    <w:basedOn w:val="Normal"/>
    <w:link w:val="CommentaireCar"/>
    <w:uiPriority w:val="99"/>
    <w:unhideWhenUsed/>
    <w:rsid w:val="00AA2B87"/>
    <w:pPr>
      <w:spacing w:line="240" w:lineRule="auto"/>
    </w:pPr>
    <w:rPr>
      <w:sz w:val="20"/>
      <w:szCs w:val="20"/>
    </w:rPr>
  </w:style>
  <w:style w:type="character" w:customStyle="1" w:styleId="CommentaireCar">
    <w:name w:val="Commentaire Car"/>
    <w:basedOn w:val="Policepardfaut"/>
    <w:link w:val="Commentaire"/>
    <w:uiPriority w:val="99"/>
    <w:rsid w:val="00AA2B87"/>
    <w:rPr>
      <w:sz w:val="20"/>
      <w:szCs w:val="20"/>
    </w:rPr>
  </w:style>
  <w:style w:type="paragraph" w:styleId="Objetducommentaire">
    <w:name w:val="annotation subject"/>
    <w:basedOn w:val="Commentaire"/>
    <w:next w:val="Commentaire"/>
    <w:link w:val="ObjetducommentaireCar"/>
    <w:uiPriority w:val="99"/>
    <w:semiHidden/>
    <w:unhideWhenUsed/>
    <w:rsid w:val="00AA2B87"/>
    <w:rPr>
      <w:b/>
      <w:bCs/>
    </w:rPr>
  </w:style>
  <w:style w:type="character" w:customStyle="1" w:styleId="ObjetducommentaireCar">
    <w:name w:val="Objet du commentaire Car"/>
    <w:basedOn w:val="CommentaireCar"/>
    <w:link w:val="Objetducommentaire"/>
    <w:uiPriority w:val="99"/>
    <w:semiHidden/>
    <w:rsid w:val="00AA2B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3002</Words>
  <Characters>16515</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ICR</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Louedec Felicien</dc:creator>
  <cp:keywords/>
  <dc:description/>
  <cp:lastModifiedBy>Chatelut Etienne</cp:lastModifiedBy>
  <cp:revision>3</cp:revision>
  <dcterms:created xsi:type="dcterms:W3CDTF">2024-03-26T07:38:00Z</dcterms:created>
  <dcterms:modified xsi:type="dcterms:W3CDTF">2024-03-26T07:42:00Z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id="dgK1TJ1u"/&gt;&lt;style id="http://www.zotero.org/styles/clinical-pharmacokinetics" hasBibliography="1" bibliographyStyleHasBeenSet="1"/&gt;&lt;prefs&gt;&lt;pref name="fieldType" value="Field"/&gt;&lt;/prefs&gt;&lt;/data&gt;</vt:lpwstr>
  </property>
</Properties>
</file>