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spacing w:lineRule="auto" w:line="360" w:before="0" w:after="0"/>
        <w:jc w:val="start"/>
        <w:rPr>
          <w:b/>
          <w:bCs/>
          <w:lang w:val="en-US"/>
        </w:rPr>
      </w:pPr>
      <w:r>
        <w:rPr>
          <w:b/>
          <w:bCs/>
          <w:lang w:val="en-US"/>
        </w:rPr>
        <w:t>Supplement S1. Search queries for different guidelines.</w:t>
      </w:r>
    </w:p>
    <w:p>
      <w:pPr>
        <w:pStyle w:val="Normal"/>
        <w:bidi w:val="0"/>
        <w:spacing w:lineRule="auto" w:line="360"/>
        <w:jc w:val="start"/>
        <w:rPr>
          <w:b/>
          <w:bCs/>
          <w:lang w:val="en-US"/>
        </w:rPr>
      </w:pPr>
      <w:r>
        <w:rPr>
          <w:b/>
          <w:bCs/>
          <w:lang w:val="en-US"/>
        </w:rPr>
        <w:t>PubMed Search Query</w:t>
      </w:r>
    </w:p>
    <w:p>
      <w:pPr>
        <w:pStyle w:val="Normal"/>
        <w:bidi w:val="0"/>
        <w:spacing w:lineRule="auto" w:line="360"/>
        <w:jc w:val="start"/>
        <w:rPr>
          <w:b/>
          <w:bCs/>
          <w:lang w:val="en-US"/>
        </w:rPr>
      </w:pPr>
      <w:r>
        <w:rPr>
          <w:b/>
          <w:bCs/>
          <w:lang w:val="en-US"/>
        </w:rPr>
        <w:t>("Inflammatory Bowel Diseases"[MeSH] OR "IBD" OR "Crohn Disease"[MeSH] OR "Ulcerative Colitis"[MeSH] OR "Crohn’s disease" OR "ulcerative colitis")</w:t>
      </w:r>
    </w:p>
    <w:p>
      <w:pPr>
        <w:pStyle w:val="Normal"/>
        <w:bidi w:val="0"/>
        <w:spacing w:lineRule="auto" w:line="360"/>
        <w:jc w:val="start"/>
        <w:rPr>
          <w:b/>
          <w:bCs/>
          <w:lang w:val="en-US"/>
        </w:rPr>
      </w:pPr>
      <w:r>
        <w:rPr>
          <w:b/>
          <w:bCs/>
          <w:lang w:val="en-US"/>
        </w:rPr>
        <w:t>AND ("Thiopurines"[MeSH] OR "Azathioprine"[MeSH] OR "6-Mercaptopurine"[MeSH] OR "6-TG" OR "6-MP" OR "Thiopurine metabolites")</w:t>
      </w:r>
    </w:p>
    <w:p>
      <w:pPr>
        <w:pStyle w:val="Normal"/>
        <w:bidi w:val="0"/>
        <w:spacing w:lineRule="auto" w:line="360"/>
        <w:jc w:val="start"/>
        <w:rPr>
          <w:b/>
          <w:bCs/>
          <w:lang w:val="en-US"/>
        </w:rPr>
      </w:pPr>
      <w:r>
        <w:rPr>
          <w:b/>
          <w:bCs/>
          <w:lang w:val="en-US"/>
        </w:rPr>
        <w:t>AND ("Guideline"[Publication Type] OR "Consensus Statement" OR "Practice Guidelines" OR "International Guidelines" OR "Clinical Guidelines")</w:t>
      </w:r>
    </w:p>
    <w:p>
      <w:pPr>
        <w:pStyle w:val="Normal"/>
        <w:bidi w:val="0"/>
        <w:spacing w:lineRule="auto" w:line="360"/>
        <w:jc w:val="start"/>
        <w:rPr>
          <w:b/>
          <w:bCs/>
          <w:lang w:val="en-US"/>
        </w:rPr>
      </w:pPr>
      <w:r>
        <w:rPr>
          <w:b/>
          <w:bCs/>
          <w:lang w:val="en-US"/>
        </w:rPr>
      </w:r>
    </w:p>
    <w:p>
      <w:pPr>
        <w:pStyle w:val="Normal"/>
        <w:bidi w:val="0"/>
        <w:spacing w:lineRule="auto" w:line="360"/>
        <w:jc w:val="start"/>
        <w:rPr>
          <w:b/>
          <w:bCs/>
          <w:lang w:val="en-US"/>
        </w:rPr>
      </w:pPr>
      <w:r>
        <w:rPr>
          <w:b/>
          <w:bCs/>
          <w:lang w:val="en-US"/>
        </w:rPr>
        <w:t>Embase Search Query</w:t>
      </w:r>
    </w:p>
    <w:p>
      <w:pPr>
        <w:pStyle w:val="Normal"/>
        <w:bidi w:val="0"/>
        <w:spacing w:lineRule="auto" w:line="360"/>
        <w:jc w:val="start"/>
        <w:rPr>
          <w:b/>
          <w:bCs/>
          <w:lang w:val="en-US"/>
        </w:rPr>
      </w:pPr>
      <w:r>
        <w:rPr>
          <w:b/>
          <w:bCs/>
          <w:lang w:val="en-US"/>
        </w:rPr>
        <w:t>('inflammatory bowel disease'/exp OR 'ibd' OR 'crohn disease'/exp OR 'ulcerative colitis'/exp OR 'crohn’s disease' OR 'ulcerative colitis')</w:t>
      </w:r>
    </w:p>
    <w:p>
      <w:pPr>
        <w:pStyle w:val="Normal"/>
        <w:bidi w:val="0"/>
        <w:spacing w:lineRule="auto" w:line="360"/>
        <w:jc w:val="start"/>
        <w:rPr>
          <w:b/>
          <w:bCs/>
          <w:lang w:val="en-US"/>
        </w:rPr>
      </w:pPr>
      <w:r>
        <w:rPr>
          <w:b/>
          <w:bCs/>
          <w:lang w:val="en-US"/>
        </w:rPr>
        <w:t>AND ('thiopurine'/exp OR 'azathioprine'/exp OR '6-mercaptopurine'/exp OR '6-thioguanine' OR 'thiopurine metabolites')</w:t>
      </w:r>
    </w:p>
    <w:p>
      <w:pPr>
        <w:pStyle w:val="Normal"/>
        <w:bidi w:val="0"/>
        <w:spacing w:lineRule="auto" w:line="360"/>
        <w:jc w:val="start"/>
        <w:rPr>
          <w:b/>
          <w:bCs/>
          <w:lang w:val="en-US"/>
        </w:rPr>
      </w:pPr>
      <w:r>
        <w:rPr>
          <w:b/>
          <w:bCs/>
          <w:lang w:val="en-US"/>
        </w:rPr>
        <w:t>AND ('guideline'/exp OR 'consensus statement' OR 'practice guideline' OR 'international guideline' OR 'clinical guideline')</w:t>
      </w:r>
    </w:p>
    <w:p>
      <w:pPr>
        <w:pStyle w:val="Normal"/>
        <w:bidi w:val="0"/>
        <w:spacing w:lineRule="auto" w:line="360"/>
        <w:jc w:val="start"/>
        <w:rPr>
          <w:b/>
          <w:bCs/>
          <w:lang w:val="en-US"/>
        </w:rPr>
      </w:pPr>
      <w:r>
        <w:rPr>
          <w:b/>
          <w:bCs/>
          <w:lang w:val="en-US"/>
        </w:rPr>
      </w:r>
    </w:p>
    <w:p>
      <w:pPr>
        <w:pStyle w:val="Normal"/>
        <w:bidi w:val="0"/>
        <w:spacing w:lineRule="auto" w:line="360"/>
        <w:jc w:val="start"/>
        <w:rPr>
          <w:b/>
          <w:bCs/>
          <w:lang w:val="en-US"/>
        </w:rPr>
      </w:pPr>
      <w:r>
        <w:rPr>
          <w:b/>
          <w:bCs/>
          <w:lang w:val="en-US"/>
        </w:rPr>
        <w:t>Web of Science</w:t>
      </w:r>
    </w:p>
    <w:p>
      <w:pPr>
        <w:pStyle w:val="Normal"/>
        <w:bidi w:val="0"/>
        <w:spacing w:lineRule="auto" w:line="360"/>
        <w:jc w:val="start"/>
        <w:rPr>
          <w:b/>
          <w:bCs/>
          <w:lang w:val="en-US"/>
        </w:rPr>
      </w:pPr>
      <w:r>
        <w:rPr>
          <w:b/>
          <w:bCs/>
          <w:lang w:val="en-US"/>
        </w:rPr>
        <w:t>TS=("Inflammatory Bowel Disease" OR "IBD" OR "Crohn's Disease" OR "Ulcerative Colitis")</w:t>
      </w:r>
    </w:p>
    <w:p>
      <w:pPr>
        <w:pStyle w:val="Normal"/>
        <w:bidi w:val="0"/>
        <w:spacing w:lineRule="auto" w:line="360"/>
        <w:jc w:val="start"/>
        <w:rPr>
          <w:b/>
          <w:bCs/>
          <w:lang w:val="en-US"/>
        </w:rPr>
      </w:pPr>
      <w:r>
        <w:rPr>
          <w:b/>
          <w:bCs/>
          <w:lang w:val="en-US"/>
        </w:rPr>
        <w:t>AND TS=("Thiopurine" OR "Azathioprine" OR "6-Mercaptopurine" OR "6-TG" OR "6-MP" OR "Thiopurine Metabolites")</w:t>
      </w:r>
    </w:p>
    <w:p>
      <w:pPr>
        <w:pStyle w:val="Normal"/>
        <w:bidi w:val="0"/>
        <w:spacing w:lineRule="auto" w:line="360"/>
        <w:jc w:val="start"/>
        <w:rPr>
          <w:b/>
          <w:bCs/>
          <w:lang w:val="en-US"/>
        </w:rPr>
      </w:pPr>
      <w:r>
        <w:rPr>
          <w:b/>
          <w:bCs/>
          <w:lang w:val="en-US"/>
        </w:rPr>
        <w:t xml:space="preserve">AND TS=("Guideline" OR "Consensus Statement" OR "Practice Guideline" OR "International Guideline" OR "Clinical Guideline") </w:t>
      </w:r>
      <w:r>
        <w:br w:type="page"/>
      </w:r>
    </w:p>
    <w:p>
      <w:pPr>
        <w:pStyle w:val="Normal"/>
        <w:bidi w:val="0"/>
        <w:spacing w:lineRule="auto" w:line="360" w:before="0" w:after="0"/>
        <w:jc w:val="start"/>
        <w:rPr>
          <w:b/>
          <w:bCs/>
          <w:lang w:val="en-US"/>
        </w:rPr>
      </w:pPr>
      <w:r>
        <w:rPr>
          <w:b/>
          <w:bCs/>
          <w:lang w:val="en-US"/>
        </w:rPr>
        <w:t>Supplement S2. The full text of the guidelines on TDM and pharmacogenomics of thiopurines.</w:t>
      </w:r>
    </w:p>
    <w:tbl>
      <w:tblPr>
        <w:tblStyle w:val="TableGrid"/>
        <w:tblW w:w="14849"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1804"/>
        <w:gridCol w:w="5562"/>
        <w:gridCol w:w="4678"/>
        <w:gridCol w:w="2804"/>
      </w:tblGrid>
      <w:tr>
        <w:trPr>
          <w:trHeight w:val="716" w:hRule="atLeast"/>
        </w:trPr>
        <w:tc>
          <w:tcPr>
            <w:tcW w:w="1804" w:type="dxa"/>
            <w:tcBorders/>
            <w:shd w:color="auto" w:fill="000000" w:themeFill="text1" w:val="clear"/>
          </w:tcPr>
          <w:p>
            <w:pPr>
              <w:pStyle w:val="Normal"/>
              <w:widowControl/>
              <w:bidi w:val="0"/>
              <w:spacing w:lineRule="auto" w:line="360" w:before="0" w:after="0"/>
              <w:jc w:val="start"/>
              <w:rPr>
                <w:b/>
                <w:bCs/>
                <w:lang w:val="en-US"/>
              </w:rPr>
            </w:pPr>
            <w:r>
              <w:rPr>
                <w:rFonts w:eastAsia="Calibri" w:cs="Times New Roman"/>
                <w:b/>
                <w:bCs/>
                <w:kern w:val="2"/>
                <w:sz w:val="20"/>
                <w:szCs w:val="20"/>
                <w:lang w:val="en-US" w:eastAsia="en-US" w:bidi="ar-SA"/>
              </w:rPr>
              <w:t>Author</w:t>
            </w:r>
          </w:p>
        </w:tc>
        <w:tc>
          <w:tcPr>
            <w:tcW w:w="5562" w:type="dxa"/>
            <w:tcBorders/>
            <w:shd w:color="auto" w:fill="000000" w:themeFill="text1" w:val="clear"/>
          </w:tcPr>
          <w:p>
            <w:pPr>
              <w:pStyle w:val="Normal"/>
              <w:widowControl/>
              <w:bidi w:val="0"/>
              <w:spacing w:lineRule="auto" w:line="360" w:before="0" w:after="0"/>
              <w:jc w:val="start"/>
              <w:rPr>
                <w:b/>
                <w:bCs/>
                <w:lang w:val="en-US"/>
              </w:rPr>
            </w:pPr>
            <w:r>
              <w:rPr>
                <w:rFonts w:eastAsia="Calibri" w:cs="Times New Roman"/>
                <w:b/>
                <w:bCs/>
                <w:kern w:val="2"/>
                <w:sz w:val="20"/>
                <w:szCs w:val="20"/>
                <w:lang w:val="en-US" w:eastAsia="en-US" w:bidi="ar-SA"/>
              </w:rPr>
              <w:t>Thiopurine metabolite monitoring</w:t>
            </w:r>
          </w:p>
        </w:tc>
        <w:tc>
          <w:tcPr>
            <w:tcW w:w="4678" w:type="dxa"/>
            <w:tcBorders/>
            <w:shd w:color="auto" w:fill="000000" w:themeFill="text1" w:val="clear"/>
          </w:tcPr>
          <w:p>
            <w:pPr>
              <w:pStyle w:val="Normal"/>
              <w:widowControl/>
              <w:bidi w:val="0"/>
              <w:spacing w:lineRule="auto" w:line="360" w:before="0" w:after="0"/>
              <w:jc w:val="start"/>
              <w:rPr>
                <w:b/>
                <w:bCs/>
                <w:lang w:val="en-US"/>
              </w:rPr>
            </w:pPr>
            <w:r>
              <w:rPr>
                <w:rFonts w:eastAsia="Calibri" w:cs="Times New Roman"/>
                <w:b/>
                <w:bCs/>
                <w:kern w:val="2"/>
                <w:sz w:val="20"/>
                <w:szCs w:val="20"/>
                <w:lang w:val="en-US" w:eastAsia="en-US" w:bidi="ar-SA"/>
              </w:rPr>
              <w:t>TPMT genotyping</w:t>
            </w:r>
          </w:p>
        </w:tc>
        <w:tc>
          <w:tcPr>
            <w:tcW w:w="2804" w:type="dxa"/>
            <w:tcBorders/>
            <w:shd w:color="auto" w:fill="000000" w:themeFill="text1" w:val="clear"/>
          </w:tcPr>
          <w:p>
            <w:pPr>
              <w:pStyle w:val="Normal"/>
              <w:widowControl/>
              <w:bidi w:val="0"/>
              <w:spacing w:lineRule="auto" w:line="360" w:before="0" w:after="0"/>
              <w:jc w:val="start"/>
              <w:rPr>
                <w:b/>
                <w:bCs/>
                <w:lang w:val="en-US"/>
              </w:rPr>
            </w:pPr>
            <w:r>
              <w:rPr>
                <w:rFonts w:eastAsia="Calibri" w:cs="Times New Roman"/>
                <w:b/>
                <w:bCs/>
                <w:kern w:val="2"/>
                <w:sz w:val="20"/>
                <w:szCs w:val="20"/>
                <w:lang w:val="en-US" w:eastAsia="en-US" w:bidi="ar-SA"/>
              </w:rPr>
              <w:t>NUDT15 genotyping</w:t>
            </w:r>
          </w:p>
        </w:tc>
      </w:tr>
      <w:tr>
        <w:trPr>
          <w:trHeight w:val="1083" w:hRule="atLeast"/>
        </w:trPr>
        <w:tc>
          <w:tcPr>
            <w:tcW w:w="1804" w:type="dxa"/>
            <w:tcBorders/>
          </w:tcPr>
          <w:p>
            <w:pPr>
              <w:pStyle w:val="Normal"/>
              <w:widowControl/>
              <w:bidi w:val="0"/>
              <w:spacing w:lineRule="auto" w:line="360" w:before="0" w:after="0"/>
              <w:jc w:val="start"/>
              <w:rPr>
                <w:lang w:val="en-US"/>
              </w:rPr>
            </w:pPr>
            <w:r>
              <w:rPr>
                <w:rFonts w:eastAsia="Calibri" w:cs="Times New Roman"/>
                <w:kern w:val="2"/>
                <w:sz w:val="20"/>
                <w:szCs w:val="20"/>
                <w:lang w:val="en-US" w:eastAsia="en-US" w:bidi="ar-SA"/>
              </w:rPr>
              <w:t>Feuerstein et al.</w:t>
            </w:r>
            <w:r>
              <w:fldChar w:fldCharType="begin"/>
            </w:r>
            <w:r>
              <w:rPr>
                <w:sz w:val="20"/>
                <w:kern w:val="2"/>
                <w:szCs w:val="20"/>
                <w:rFonts w:eastAsia="Calibri" w:cs="Times New Roman"/>
                <w:lang w:val="en-US" w:eastAsia="en-US" w:bidi="ar-SA"/>
              </w:rPr>
              <w:instrText xml:space="preserve">ADDIN EN.CITE</w:instrText>
            </w:r>
            <w:r>
              <w:rPr>
                <w:rFonts w:eastAsia="Calibri" w:cs="Times New Roman"/>
                <w:kern w:val="2"/>
                <w:sz w:val="20"/>
                <w:szCs w:val="20"/>
                <w:lang w:val="en-US" w:eastAsia="en-US" w:bidi="ar-SA"/>
              </w:rPr>
            </w:r>
            <w:r>
              <w:fldChar w:fldCharType="begin"/>
            </w:r>
            <w:r>
              <w:rPr>
                <w:sz w:val="20"/>
                <w:kern w:val="2"/>
                <w:szCs w:val="20"/>
                <w:rFonts w:eastAsia="Calibri" w:cs="Times New Roman"/>
                <w:lang w:val="en-US" w:eastAsia="en-US" w:bidi="ar-SA"/>
              </w:rPr>
              <w:instrText xml:space="preserve">ADDIN EN.CITE.DATA</w:instrText>
            </w:r>
            <w:r>
              <w:rPr>
                <w:rFonts w:eastAsia="Calibri" w:cs="Times New Roman"/>
                <w:kern w:val="2"/>
                <w:sz w:val="20"/>
                <w:szCs w:val="20"/>
                <w:lang w:val="en-US" w:eastAsia="en-US" w:bidi="ar-SA"/>
              </w:rPr>
            </w:r>
            <w:r>
              <w:rPr>
                <w:sz w:val="20"/>
                <w:kern w:val="2"/>
                <w:szCs w:val="20"/>
                <w:rFonts w:eastAsia="Calibri" w:cs="Times New Roman"/>
                <w:lang w:val="en-US" w:eastAsia="en-US" w:bidi="ar-SA"/>
              </w:rPr>
              <w:fldChar w:fldCharType="separate"/>
            </w:r>
            <w:r>
              <w:rPr>
                <w:rFonts w:eastAsia="Calibri" w:cs="Times New Roman"/>
                <w:kern w:val="2"/>
                <w:sz w:val="20"/>
                <w:szCs w:val="20"/>
                <w:lang w:val="en-US" w:eastAsia="en-US" w:bidi="ar-SA"/>
              </w:rPr>
            </w:r>
            <w:r>
              <w:rPr>
                <w:rFonts w:eastAsia="Calibri" w:cs="Times New Roman"/>
                <w:kern w:val="2"/>
                <w:sz w:val="20"/>
                <w:szCs w:val="20"/>
                <w:lang w:val="en-US" w:eastAsia="en-US" w:bidi="ar-SA"/>
              </w:rPr>
            </w:r>
            <w:r>
              <w:rPr>
                <w:sz w:val="20"/>
                <w:kern w:val="2"/>
                <w:szCs w:val="20"/>
                <w:rFonts w:eastAsia="Calibri" w:cs="Times New Roman"/>
                <w:lang w:val="en-US" w:eastAsia="en-US" w:bidi="ar-SA"/>
              </w:rPr>
              <w:fldChar w:fldCharType="end"/>
            </w:r>
            <w:r>
              <w:rPr>
                <w:sz w:val="20"/>
                <w:kern w:val="2"/>
                <w:szCs w:val="20"/>
                <w:rFonts w:eastAsia="Calibri" w:cs="Times New Roman"/>
                <w:lang w:val="en-US" w:eastAsia="en-US" w:bidi="ar-SA"/>
              </w:rPr>
              <w:fldChar w:fldCharType="separate"/>
            </w:r>
            <w:r>
              <w:rPr>
                <w:rFonts w:eastAsia="Calibri" w:cs="Times New Roman"/>
                <w:kern w:val="2"/>
                <w:sz w:val="20"/>
                <w:szCs w:val="20"/>
                <w:lang w:val="en-US" w:eastAsia="en-US" w:bidi="ar-SA"/>
              </w:rPr>
            </w:r>
            <w:r>
              <w:rPr>
                <w:rFonts w:eastAsia="Calibri" w:cs="Times New Roman"/>
                <w:kern w:val="2"/>
                <w:sz w:val="20"/>
                <w:szCs w:val="20"/>
                <w:vertAlign w:val="superscript"/>
                <w:lang w:val="en-US" w:eastAsia="en-US" w:bidi="ar-SA"/>
              </w:rPr>
              <w:t>8</w:t>
            </w:r>
            <w:r/>
            <w:r>
              <w:rPr>
                <w:sz w:val="20"/>
                <w:kern w:val="2"/>
                <w:szCs w:val="20"/>
                <w:rFonts w:eastAsia="Calibri" w:cs="Times New Roman"/>
                <w:lang w:val="en-US" w:eastAsia="en-US" w:bidi="ar-SA"/>
              </w:rPr>
              <w:fldChar w:fldCharType="end"/>
            </w:r>
            <w:r>
              <w:rPr>
                <w:rFonts w:eastAsia="Calibri" w:cs="Times New Roman"/>
                <w:kern w:val="2"/>
                <w:sz w:val="20"/>
                <w:szCs w:val="20"/>
                <w:lang w:val="en-US" w:eastAsia="en-US" w:bidi="ar-SA"/>
              </w:rPr>
            </w:r>
          </w:p>
          <w:p>
            <w:pPr>
              <w:pStyle w:val="Normal"/>
              <w:widowControl/>
              <w:bidi w:val="0"/>
              <w:spacing w:lineRule="auto" w:line="360" w:before="0" w:after="0"/>
              <w:jc w:val="start"/>
              <w:rPr>
                <w:lang w:val="en-US"/>
              </w:rPr>
            </w:pPr>
            <w:r>
              <w:rPr>
                <w:rFonts w:eastAsia="Calibri" w:cs="Times New Roman"/>
                <w:kern w:val="2"/>
                <w:sz w:val="20"/>
                <w:szCs w:val="20"/>
                <w:lang w:val="en-US" w:eastAsia="en-US" w:bidi="ar-SA"/>
              </w:rPr>
            </w:r>
          </w:p>
        </w:tc>
        <w:tc>
          <w:tcPr>
            <w:tcW w:w="5562" w:type="dxa"/>
            <w:tcBorders/>
          </w:tcPr>
          <w:p>
            <w:pPr>
              <w:pStyle w:val="Normal"/>
              <w:widowControl/>
              <w:bidi w:val="0"/>
              <w:spacing w:lineRule="auto" w:line="360" w:before="0" w:after="0"/>
              <w:jc w:val="start"/>
              <w:rPr>
                <w:i/>
                <w:i/>
                <w:iCs/>
                <w:lang w:val="en-US"/>
              </w:rPr>
            </w:pPr>
            <w:r>
              <w:rPr>
                <w:rFonts w:eastAsia="Calibri" w:cs="Times New Roman"/>
                <w:i/>
                <w:iCs/>
                <w:kern w:val="2"/>
                <w:sz w:val="20"/>
                <w:szCs w:val="20"/>
                <w:lang w:val="en-US" w:eastAsia="en-US" w:bidi="ar-SA"/>
              </w:rPr>
              <w:t xml:space="preserve">In adult patients treated with thiopurines with active IBD or adverse effects thought to result from thiopurine toxicity, the AGA suggests </w:t>
            </w:r>
            <w:r>
              <w:rPr>
                <w:rFonts w:eastAsia="Calibri" w:cs="Times New Roman"/>
                <w:i/>
                <w:iCs/>
                <w:kern w:val="2"/>
                <w:sz w:val="20"/>
                <w:szCs w:val="20"/>
                <w:u w:val="single"/>
                <w:lang w:val="en-US" w:eastAsia="en-US" w:bidi="ar-SA"/>
              </w:rPr>
              <w:t>reactive thiopurine metabolite monitoring</w:t>
            </w:r>
            <w:r>
              <w:rPr>
                <w:rFonts w:eastAsia="Calibri" w:cs="Times New Roman"/>
                <w:i/>
                <w:iCs/>
                <w:kern w:val="2"/>
                <w:sz w:val="20"/>
                <w:szCs w:val="20"/>
                <w:lang w:val="en-US" w:eastAsia="en-US" w:bidi="ar-SA"/>
              </w:rPr>
              <w:t xml:space="preserve"> to guide treatment changes. Conditional recommendation, very low quality of evidence.</w:t>
            </w:r>
          </w:p>
          <w:p>
            <w:pPr>
              <w:pStyle w:val="Normal"/>
              <w:widowControl/>
              <w:bidi w:val="0"/>
              <w:spacing w:lineRule="auto" w:line="360" w:before="0" w:after="0"/>
              <w:jc w:val="start"/>
              <w:rPr>
                <w:i/>
                <w:i/>
                <w:iCs/>
                <w:lang w:val="en-US"/>
              </w:rPr>
            </w:pPr>
            <w:r>
              <w:rPr>
                <w:rFonts w:eastAsia="Calibri" w:cs="Times New Roman"/>
                <w:i/>
                <w:iCs/>
                <w:kern w:val="2"/>
                <w:sz w:val="20"/>
                <w:szCs w:val="20"/>
                <w:lang w:val="en-US" w:eastAsia="en-US" w:bidi="ar-SA"/>
              </w:rPr>
            </w:r>
          </w:p>
          <w:p>
            <w:pPr>
              <w:pStyle w:val="Normal"/>
              <w:widowControl/>
              <w:bidi w:val="0"/>
              <w:spacing w:lineRule="auto" w:line="360" w:before="0" w:after="0"/>
              <w:jc w:val="start"/>
              <w:rPr>
                <w:i/>
                <w:i/>
                <w:iCs/>
                <w:lang w:val="en-US"/>
              </w:rPr>
            </w:pPr>
            <w:r>
              <w:rPr>
                <w:rFonts w:eastAsia="Calibri" w:cs="Times New Roman"/>
                <w:i/>
                <w:iCs/>
                <w:kern w:val="2"/>
                <w:sz w:val="20"/>
                <w:szCs w:val="20"/>
                <w:lang w:val="en-US" w:eastAsia="en-US" w:bidi="ar-SA"/>
              </w:rPr>
              <w:t>When measuring thiopurine metabolite monitoring in patients with active IBD-related symptoms, we suggest a target 6-thioguanine (6-TGN) cut-off between 230 and 450 pmol/8 × 10</w:t>
            </w:r>
            <w:r>
              <w:rPr>
                <w:rFonts w:eastAsia="Calibri" w:cs="Times New Roman"/>
                <w:i/>
                <w:iCs/>
                <w:kern w:val="2"/>
                <w:sz w:val="20"/>
                <w:szCs w:val="20"/>
                <w:vertAlign w:val="superscript"/>
                <w:lang w:val="en-US" w:eastAsia="en-US" w:bidi="ar-SA"/>
              </w:rPr>
              <w:t>8</w:t>
            </w:r>
            <w:r>
              <w:rPr>
                <w:rFonts w:eastAsia="Calibri" w:cs="Times New Roman"/>
                <w:i/>
                <w:iCs/>
                <w:kern w:val="2"/>
                <w:sz w:val="20"/>
                <w:szCs w:val="20"/>
                <w:lang w:val="en-US" w:eastAsia="en-US" w:bidi="ar-SA"/>
              </w:rPr>
              <w:t xml:space="preserve"> red blood cells (RBCs) when used as monotherapy; the optimal 6-TGN cut-off when thiopurines are used in combination with anti-TNF agents is uncertain.</w:t>
            </w:r>
          </w:p>
          <w:p>
            <w:pPr>
              <w:pStyle w:val="Normal"/>
              <w:widowControl/>
              <w:bidi w:val="0"/>
              <w:spacing w:lineRule="auto" w:line="360" w:before="0" w:after="0"/>
              <w:jc w:val="start"/>
              <w:rPr>
                <w:i/>
                <w:i/>
                <w:iCs/>
                <w:lang w:val="en-US"/>
              </w:rPr>
            </w:pPr>
            <w:r>
              <w:rPr>
                <w:rFonts w:eastAsia="Calibri" w:cs="Times New Roman"/>
                <w:i/>
                <w:iCs/>
                <w:kern w:val="2"/>
                <w:sz w:val="20"/>
                <w:szCs w:val="20"/>
                <w:lang w:val="en-US" w:eastAsia="en-US" w:bidi="ar-SA"/>
              </w:rPr>
            </w:r>
          </w:p>
          <w:p>
            <w:pPr>
              <w:pStyle w:val="Normal"/>
              <w:widowControl/>
              <w:bidi w:val="0"/>
              <w:spacing w:lineRule="auto" w:line="360" w:before="0" w:after="0"/>
              <w:jc w:val="start"/>
              <w:rPr>
                <w:i/>
                <w:i/>
                <w:iCs/>
                <w:lang w:val="en-US"/>
              </w:rPr>
            </w:pPr>
            <w:r>
              <w:rPr>
                <w:rFonts w:eastAsia="Calibri" w:cs="Times New Roman"/>
                <w:i/>
                <w:iCs/>
                <w:kern w:val="2"/>
                <w:sz w:val="20"/>
                <w:szCs w:val="20"/>
                <w:lang w:val="en-US" w:eastAsia="en-US" w:bidi="ar-SA"/>
              </w:rPr>
              <w:t xml:space="preserve">In adult patients with quiescent IBD treated with thiopurines, the AGA suggests </w:t>
            </w:r>
            <w:r>
              <w:rPr>
                <w:rFonts w:eastAsia="Calibri" w:cs="Times New Roman"/>
                <w:i/>
                <w:iCs/>
                <w:kern w:val="2"/>
                <w:sz w:val="20"/>
                <w:szCs w:val="20"/>
                <w:u w:val="single"/>
                <w:lang w:val="en-US" w:eastAsia="en-US" w:bidi="ar-SA"/>
              </w:rPr>
              <w:t>against routine thiopurine metabolite monitoring</w:t>
            </w:r>
            <w:r>
              <w:rPr>
                <w:rFonts w:eastAsia="Calibri" w:cs="Times New Roman"/>
                <w:i/>
                <w:iCs/>
                <w:kern w:val="2"/>
                <w:sz w:val="20"/>
                <w:szCs w:val="20"/>
                <w:lang w:val="en-US" w:eastAsia="en-US" w:bidi="ar-SA"/>
              </w:rPr>
              <w:t>. Conditional recommendation, very low quality of evidence.</w:t>
            </w:r>
          </w:p>
        </w:tc>
        <w:tc>
          <w:tcPr>
            <w:tcW w:w="4678" w:type="dxa"/>
            <w:tcBorders/>
          </w:tcPr>
          <w:p>
            <w:pPr>
              <w:pStyle w:val="Normal"/>
              <w:widowControl/>
              <w:bidi w:val="0"/>
              <w:spacing w:lineRule="auto" w:line="360" w:before="0" w:after="0"/>
              <w:jc w:val="start"/>
              <w:rPr>
                <w:i/>
                <w:i/>
                <w:iCs/>
                <w:lang w:val="en-US"/>
              </w:rPr>
            </w:pPr>
            <w:r>
              <w:rPr>
                <w:rFonts w:eastAsia="Calibri" w:cs="Times New Roman"/>
                <w:i/>
                <w:iCs/>
                <w:kern w:val="2"/>
                <w:sz w:val="20"/>
                <w:szCs w:val="20"/>
                <w:lang w:val="en-US" w:eastAsia="en-US" w:bidi="ar-SA"/>
              </w:rPr>
              <w:t>In adult patients with IBD being started on thiopurines, the AGA suggests routine TPMT testing (enzymatic activity or genotype) to guide thiopurine dosing.</w:t>
            </w:r>
          </w:p>
          <w:p>
            <w:pPr>
              <w:pStyle w:val="Normal"/>
              <w:widowControl/>
              <w:bidi w:val="0"/>
              <w:spacing w:lineRule="auto" w:line="360" w:before="0" w:after="0"/>
              <w:jc w:val="start"/>
              <w:rPr>
                <w:i/>
                <w:i/>
                <w:iCs/>
                <w:lang w:val="en-US"/>
              </w:rPr>
            </w:pPr>
            <w:r>
              <w:rPr>
                <w:rFonts w:eastAsia="Calibri" w:cs="Times New Roman"/>
                <w:i/>
                <w:iCs/>
                <w:kern w:val="2"/>
                <w:sz w:val="20"/>
                <w:szCs w:val="20"/>
                <w:lang w:val="en-US" w:eastAsia="en-US" w:bidi="ar-SA"/>
              </w:rPr>
              <w:t>Conditional recommendation, low quality</w:t>
            </w:r>
          </w:p>
          <w:p>
            <w:pPr>
              <w:pStyle w:val="Normal"/>
              <w:widowControl/>
              <w:bidi w:val="0"/>
              <w:spacing w:lineRule="auto" w:line="360" w:before="0" w:after="0"/>
              <w:jc w:val="start"/>
              <w:rPr>
                <w:lang w:val="en-US"/>
              </w:rPr>
            </w:pPr>
            <w:r>
              <w:rPr>
                <w:rFonts w:eastAsia="Calibri" w:cs="Times New Roman"/>
                <w:kern w:val="2"/>
                <w:sz w:val="20"/>
                <w:szCs w:val="20"/>
                <w:lang w:val="en-US" w:eastAsia="en-US" w:bidi="ar-SA"/>
              </w:rPr>
            </w:r>
          </w:p>
          <w:p>
            <w:pPr>
              <w:pStyle w:val="Normal"/>
              <w:widowControl/>
              <w:bidi w:val="0"/>
              <w:spacing w:lineRule="auto" w:line="360" w:before="0" w:after="0"/>
              <w:jc w:val="start"/>
              <w:rPr>
                <w:i/>
                <w:i/>
                <w:iCs/>
                <w:lang w:val="en-US"/>
              </w:rPr>
            </w:pPr>
            <w:r>
              <w:rPr>
                <w:rFonts w:eastAsia="Calibri" w:cs="Times New Roman"/>
                <w:i/>
                <w:iCs/>
                <w:kern w:val="2"/>
                <w:sz w:val="20"/>
                <w:szCs w:val="20"/>
                <w:lang w:val="en-US" w:eastAsia="en-US" w:bidi="ar-SA"/>
              </w:rPr>
              <w:t>Routine laboratory monitoring, including CBC, should be performed, regardless of TPMT testing results.</w:t>
            </w:r>
          </w:p>
        </w:tc>
        <w:tc>
          <w:tcPr>
            <w:tcW w:w="2804" w:type="dxa"/>
            <w:tcBorders/>
          </w:tcPr>
          <w:p>
            <w:pPr>
              <w:pStyle w:val="Normal"/>
              <w:widowControl/>
              <w:bidi w:val="0"/>
              <w:spacing w:lineRule="auto" w:line="360" w:before="0" w:after="0"/>
              <w:jc w:val="start"/>
              <w:rPr>
                <w:i/>
                <w:i/>
                <w:iCs/>
                <w:lang w:val="en-US"/>
              </w:rPr>
            </w:pPr>
            <w:r>
              <w:rPr>
                <w:rFonts w:eastAsia="Calibri" w:cs="Times New Roman"/>
                <w:i/>
                <w:iCs/>
                <w:kern w:val="2"/>
                <w:sz w:val="20"/>
                <w:szCs w:val="20"/>
                <w:lang w:val="en-US" w:eastAsia="en-US" w:bidi="ar-SA"/>
              </w:rPr>
              <w:t>Not mentioned.</w:t>
            </w:r>
          </w:p>
        </w:tc>
      </w:tr>
      <w:tr>
        <w:trPr>
          <w:trHeight w:val="350" w:hRule="atLeast"/>
        </w:trPr>
        <w:tc>
          <w:tcPr>
            <w:tcW w:w="1804" w:type="dxa"/>
            <w:tcBorders/>
          </w:tcPr>
          <w:p>
            <w:pPr>
              <w:pStyle w:val="Normal"/>
              <w:widowControl/>
              <w:bidi w:val="0"/>
              <w:spacing w:lineRule="auto" w:line="360" w:before="0" w:after="0"/>
              <w:jc w:val="start"/>
              <w:rPr>
                <w:lang w:val="en-US"/>
              </w:rPr>
            </w:pPr>
            <w:r>
              <w:rPr>
                <w:rFonts w:eastAsia="Calibri" w:cs="Times New Roman"/>
                <w:kern w:val="2"/>
                <w:sz w:val="20"/>
                <w:szCs w:val="20"/>
                <w:lang w:val="en-US" w:eastAsia="en-US" w:bidi="ar-SA"/>
              </w:rPr>
              <w:t>Bressler et al.</w:t>
            </w:r>
            <w:r>
              <w:fldChar w:fldCharType="begin"/>
            </w:r>
            <w:r>
              <w:rPr>
                <w:sz w:val="20"/>
                <w:kern w:val="2"/>
                <w:szCs w:val="20"/>
                <w:rFonts w:eastAsia="Calibri" w:cs="Times New Roman"/>
                <w:lang w:val="en-US" w:eastAsia="en-US" w:bidi="ar-SA"/>
              </w:rPr>
              <w:instrText xml:space="preserve">ADDIN EN.CITE</w:instrText>
            </w:r>
            <w:r>
              <w:rPr>
                <w:rFonts w:eastAsia="Calibri" w:cs="Times New Roman"/>
                <w:kern w:val="2"/>
                <w:sz w:val="20"/>
                <w:szCs w:val="20"/>
                <w:lang w:val="en-US" w:eastAsia="en-US" w:bidi="ar-SA"/>
              </w:rPr>
            </w:r>
            <w:r>
              <w:fldChar w:fldCharType="begin"/>
            </w:r>
            <w:r>
              <w:rPr>
                <w:sz w:val="20"/>
                <w:kern w:val="2"/>
                <w:szCs w:val="20"/>
                <w:rFonts w:eastAsia="Calibri" w:cs="Times New Roman"/>
                <w:lang w:val="en-US" w:eastAsia="en-US" w:bidi="ar-SA"/>
              </w:rPr>
              <w:instrText xml:space="preserve">ADDIN EN.CITE.DATA</w:instrText>
            </w:r>
            <w:r>
              <w:rPr>
                <w:rFonts w:eastAsia="Calibri" w:cs="Times New Roman"/>
                <w:kern w:val="2"/>
                <w:sz w:val="20"/>
                <w:szCs w:val="20"/>
                <w:lang w:val="en-US" w:eastAsia="en-US" w:bidi="ar-SA"/>
              </w:rPr>
            </w:r>
            <w:r>
              <w:rPr>
                <w:sz w:val="20"/>
                <w:kern w:val="2"/>
                <w:szCs w:val="20"/>
                <w:rFonts w:eastAsia="Calibri" w:cs="Times New Roman"/>
                <w:lang w:val="en-US" w:eastAsia="en-US" w:bidi="ar-SA"/>
              </w:rPr>
              <w:fldChar w:fldCharType="separate"/>
            </w:r>
            <w:r>
              <w:rPr>
                <w:rFonts w:eastAsia="Calibri" w:cs="Times New Roman"/>
                <w:kern w:val="2"/>
                <w:sz w:val="20"/>
                <w:szCs w:val="20"/>
                <w:lang w:val="en-US" w:eastAsia="en-US" w:bidi="ar-SA"/>
              </w:rPr>
            </w:r>
            <w:r>
              <w:rPr>
                <w:rFonts w:eastAsia="Calibri" w:cs="Times New Roman"/>
                <w:kern w:val="2"/>
                <w:sz w:val="20"/>
                <w:szCs w:val="20"/>
                <w:lang w:val="en-US" w:eastAsia="en-US" w:bidi="ar-SA"/>
              </w:rPr>
            </w:r>
            <w:r>
              <w:rPr>
                <w:sz w:val="20"/>
                <w:kern w:val="2"/>
                <w:szCs w:val="20"/>
                <w:rFonts w:eastAsia="Calibri" w:cs="Times New Roman"/>
                <w:lang w:val="en-US" w:eastAsia="en-US" w:bidi="ar-SA"/>
              </w:rPr>
              <w:fldChar w:fldCharType="end"/>
            </w:r>
            <w:r>
              <w:rPr>
                <w:sz w:val="20"/>
                <w:kern w:val="2"/>
                <w:szCs w:val="20"/>
                <w:rFonts w:eastAsia="Calibri" w:cs="Times New Roman"/>
                <w:lang w:val="en-US" w:eastAsia="en-US" w:bidi="ar-SA"/>
              </w:rPr>
              <w:fldChar w:fldCharType="separate"/>
            </w:r>
            <w:r>
              <w:rPr>
                <w:rFonts w:eastAsia="Calibri" w:cs="Times New Roman"/>
                <w:kern w:val="2"/>
                <w:sz w:val="20"/>
                <w:szCs w:val="20"/>
                <w:lang w:val="en-US" w:eastAsia="en-US" w:bidi="ar-SA"/>
              </w:rPr>
            </w:r>
            <w:r>
              <w:rPr>
                <w:rFonts w:eastAsia="Calibri" w:cs="Times New Roman"/>
                <w:kern w:val="2"/>
                <w:sz w:val="20"/>
                <w:szCs w:val="20"/>
                <w:vertAlign w:val="superscript"/>
                <w:lang w:val="en-US" w:eastAsia="en-US" w:bidi="ar-SA"/>
              </w:rPr>
              <w:t>20</w:t>
            </w:r>
            <w:r/>
            <w:r>
              <w:rPr>
                <w:sz w:val="20"/>
                <w:kern w:val="2"/>
                <w:szCs w:val="20"/>
                <w:rFonts w:eastAsia="Calibri" w:cs="Times New Roman"/>
                <w:lang w:val="en-US" w:eastAsia="en-US" w:bidi="ar-SA"/>
              </w:rPr>
              <w:fldChar w:fldCharType="end"/>
            </w:r>
            <w:r>
              <w:rPr>
                <w:rFonts w:eastAsia="Calibri" w:cs="Times New Roman"/>
                <w:kern w:val="2"/>
                <w:sz w:val="20"/>
                <w:szCs w:val="20"/>
                <w:lang w:val="en-US" w:eastAsia="en-US" w:bidi="ar-SA"/>
              </w:rPr>
            </w:r>
          </w:p>
        </w:tc>
        <w:tc>
          <w:tcPr>
            <w:tcW w:w="5562" w:type="dxa"/>
            <w:tcBorders/>
          </w:tcPr>
          <w:p>
            <w:pPr>
              <w:pStyle w:val="Normal"/>
              <w:widowControl/>
              <w:bidi w:val="0"/>
              <w:spacing w:lineRule="auto" w:line="360" w:before="0" w:after="0"/>
              <w:jc w:val="start"/>
              <w:rPr>
                <w:i/>
                <w:i/>
                <w:iCs/>
                <w:lang w:val="en-US"/>
              </w:rPr>
            </w:pPr>
            <w:r>
              <w:rPr>
                <w:rFonts w:eastAsia="Calibri" w:cs="Times New Roman"/>
                <w:i/>
                <w:iCs/>
                <w:kern w:val="2"/>
                <w:sz w:val="20"/>
                <w:szCs w:val="20"/>
                <w:lang w:val="en-US" w:eastAsia="en-US" w:bidi="ar-SA"/>
              </w:rPr>
              <w:t>In addition, higher levels of the thiopurine metabolite 6-thioguanine nucleotide have been correlated with clinical remission rates; therefore, thiopurine metabolite levels may be helpful to guide therapy</w:t>
            </w:r>
          </w:p>
        </w:tc>
        <w:tc>
          <w:tcPr>
            <w:tcW w:w="4678" w:type="dxa"/>
            <w:tcBorders/>
          </w:tcPr>
          <w:p>
            <w:pPr>
              <w:pStyle w:val="Normal"/>
              <w:widowControl/>
              <w:bidi w:val="0"/>
              <w:spacing w:lineRule="auto" w:line="360" w:before="0" w:after="0"/>
              <w:jc w:val="start"/>
              <w:rPr>
                <w:i/>
                <w:i/>
                <w:iCs/>
                <w:lang w:val="en-US"/>
              </w:rPr>
            </w:pPr>
            <w:r>
              <w:rPr>
                <w:rFonts w:eastAsia="Calibri" w:cs="Times New Roman"/>
                <w:i/>
                <w:iCs/>
                <w:kern w:val="2"/>
                <w:sz w:val="20"/>
                <w:szCs w:val="20"/>
                <w:lang w:val="en-US" w:eastAsia="en-US" w:bidi="ar-SA"/>
              </w:rPr>
              <w:t>The TPMT assay is necessary before initiation of treatment to identify patients at risk for severe dose-dependent myelosuppression.</w:t>
            </w:r>
          </w:p>
          <w:p>
            <w:pPr>
              <w:pStyle w:val="Normal"/>
              <w:widowControl/>
              <w:bidi w:val="0"/>
              <w:spacing w:lineRule="auto" w:line="360" w:before="0" w:after="0"/>
              <w:jc w:val="start"/>
              <w:rPr>
                <w:i/>
                <w:i/>
                <w:iCs/>
                <w:lang w:val="en-US"/>
              </w:rPr>
            </w:pPr>
            <w:r>
              <w:rPr>
                <w:rFonts w:eastAsia="Calibri" w:cs="Times New Roman"/>
                <w:i/>
                <w:iCs/>
                <w:kern w:val="2"/>
                <w:sz w:val="20"/>
                <w:szCs w:val="20"/>
                <w:lang w:val="en-US" w:eastAsia="en-US" w:bidi="ar-SA"/>
              </w:rPr>
              <w:t>TPMT testing does not replace the need for mandatory monitoring of complete blood cell count.</w:t>
            </w:r>
          </w:p>
        </w:tc>
        <w:tc>
          <w:tcPr>
            <w:tcW w:w="2804" w:type="dxa"/>
            <w:tcBorders/>
          </w:tcPr>
          <w:p>
            <w:pPr>
              <w:pStyle w:val="Normal"/>
              <w:widowControl/>
              <w:bidi w:val="0"/>
              <w:spacing w:lineRule="auto" w:line="360" w:before="0" w:after="0"/>
              <w:jc w:val="start"/>
              <w:rPr>
                <w:i/>
                <w:i/>
                <w:iCs/>
                <w:lang w:val="en-US"/>
              </w:rPr>
            </w:pPr>
            <w:r>
              <w:rPr>
                <w:rFonts w:eastAsia="Calibri" w:cs="Times New Roman"/>
                <w:i/>
                <w:iCs/>
                <w:kern w:val="2"/>
                <w:sz w:val="20"/>
                <w:szCs w:val="20"/>
                <w:lang w:val="en-US" w:eastAsia="en-US" w:bidi="ar-SA"/>
              </w:rPr>
              <w:t>Not mentioned.</w:t>
            </w:r>
          </w:p>
        </w:tc>
      </w:tr>
      <w:tr>
        <w:trPr>
          <w:trHeight w:val="350" w:hRule="atLeast"/>
        </w:trPr>
        <w:tc>
          <w:tcPr>
            <w:tcW w:w="1804" w:type="dxa"/>
            <w:tcBorders/>
          </w:tcPr>
          <w:p>
            <w:pPr>
              <w:pStyle w:val="Normal"/>
              <w:widowControl/>
              <w:bidi w:val="0"/>
              <w:spacing w:lineRule="auto" w:line="360" w:before="0" w:after="0"/>
              <w:jc w:val="start"/>
              <w:rPr>
                <w:lang w:val="en-US"/>
              </w:rPr>
            </w:pPr>
            <w:r>
              <w:rPr>
                <w:rFonts w:eastAsia="Calibri" w:cs="Times New Roman"/>
                <w:kern w:val="2"/>
                <w:sz w:val="20"/>
                <w:szCs w:val="20"/>
                <w:lang w:val="en-US" w:eastAsia="en-US" w:bidi="ar-SA"/>
              </w:rPr>
              <w:t>Bernstein et al.</w:t>
            </w:r>
            <w:r>
              <w:fldChar w:fldCharType="begin"/>
            </w:r>
            <w:r>
              <w:rPr>
                <w:sz w:val="20"/>
                <w:kern w:val="2"/>
                <w:szCs w:val="20"/>
                <w:rFonts w:eastAsia="Calibri" w:cs="Times New Roman"/>
                <w:lang w:val="en-US" w:eastAsia="en-US" w:bidi="ar-SA"/>
              </w:rPr>
              <w:instrText xml:space="preserve">ADDIN EN.CITE &lt;EndNote&gt;&lt;Cite&gt;&lt;Author&gt;Bernstein&lt;/Author&gt;&lt;Year&gt;2015&lt;/Year&gt;&lt;RecNum&gt;473&lt;/RecNum&gt;&lt;DisplayText&gt;&lt;style face="superscript"&gt;25&lt;/style&gt;&lt;/DisplayText&gt;&lt;record&gt;&lt;rec-number&gt;473&lt;/rec-number&gt;&lt;foreign-keys&gt;&lt;key app="EN" db-id="rs5a55vvspxz5uespwzvws0ppwexpv9rr5re" timestamp="1741099881"&gt;473&lt;/key&gt;&lt;/foreign-keys&gt;&lt;ref-type name="Generic"&gt;13&lt;/ref-type&gt;&lt;contributors&gt;&lt;authors&gt;&lt;author&gt;Bernstein, C. &lt;/author&gt;&lt;author&gt;Eliakim, S.&lt;/author&gt;&lt;author&gt;Fried, M.&lt;/author&gt;&lt;author&gt;Gearry, R.&lt;/author&gt;&lt;author&gt;Goh, K. L.&lt;/author&gt;&lt;author&gt;Hamid, S.&lt;/author&gt;&lt;author&gt;Khan, A.G.&lt;/author&gt;&lt;author&gt;Khalif, I.&lt;/author&gt;&lt;author&gt;Ng, S. C.&lt;/author&gt;&lt;author&gt;Ouyang, Q.&lt;/author&gt;&lt;author&gt;Rey, J.F.&lt;/author&gt;&lt;author&gt;Sood, A.&lt;/author&gt;&lt;author&gt;Steinwurz, F.&lt;/author&gt;&lt;author&gt;Watermeyer, G.&lt;/author&gt;&lt;author&gt;LeMair, A. &lt;/author&gt;&lt;/authors&gt;&lt;/contributors&gt;&lt;titles&gt;&lt;title&gt;World Gastroenterology Organisation Global Guidelines. Inflammatory Bowel Disease. https://www.worldgastroenterology.org/guidelines/inflammatory-bowel-disease-ibd/inflammatory-bowel-disease-ibd-english&lt;/title&gt;&lt;/titles&gt;&lt;dates&gt;&lt;year&gt;2015&lt;/year&gt;&lt;/dates&gt;&lt;urls&gt;&lt;/urls&gt;&lt;/record&gt;&lt;/Cite&gt;&lt;/EndNote&gt;</w:instrText>
            </w:r>
            <w:r>
              <w:rPr>
                <w:rFonts w:eastAsia="Calibri" w:cs="Times New Roman"/>
                <w:kern w:val="2"/>
                <w:sz w:val="20"/>
                <w:szCs w:val="20"/>
                <w:lang w:val="en-US" w:eastAsia="en-US" w:bidi="ar-SA"/>
              </w:rPr>
            </w:r>
            <w:r>
              <w:rPr>
                <w:sz w:val="20"/>
                <w:kern w:val="2"/>
                <w:szCs w:val="20"/>
                <w:rFonts w:eastAsia="Calibri" w:cs="Times New Roman"/>
                <w:lang w:val="en-US" w:eastAsia="en-US" w:bidi="ar-SA"/>
              </w:rPr>
              <w:fldChar w:fldCharType="separate"/>
            </w:r>
            <w:r>
              <w:rPr>
                <w:rFonts w:eastAsia="Calibri" w:cs="Times New Roman"/>
                <w:kern w:val="2"/>
                <w:sz w:val="20"/>
                <w:szCs w:val="20"/>
                <w:lang w:val="en-US" w:eastAsia="en-US" w:bidi="ar-SA"/>
              </w:rPr>
            </w:r>
            <w:r>
              <w:rPr>
                <w:rFonts w:eastAsia="Calibri" w:cs="Times New Roman"/>
                <w:kern w:val="2"/>
                <w:sz w:val="20"/>
                <w:szCs w:val="20"/>
                <w:vertAlign w:val="superscript"/>
                <w:lang w:val="en-US" w:eastAsia="en-US" w:bidi="ar-SA"/>
              </w:rPr>
              <w:t>25</w:t>
            </w:r>
            <w:r/>
            <w:r>
              <w:rPr>
                <w:sz w:val="20"/>
                <w:kern w:val="2"/>
                <w:szCs w:val="20"/>
                <w:rFonts w:eastAsia="Calibri" w:cs="Times New Roman"/>
                <w:lang w:val="en-US" w:eastAsia="en-US" w:bidi="ar-SA"/>
              </w:rPr>
              <w:fldChar w:fldCharType="end"/>
            </w:r>
            <w:r>
              <w:rPr>
                <w:rFonts w:eastAsia="Calibri" w:cs="Times New Roman"/>
                <w:kern w:val="2"/>
                <w:sz w:val="20"/>
                <w:szCs w:val="20"/>
                <w:lang w:val="en-US" w:eastAsia="en-US" w:bidi="ar-SA"/>
              </w:rPr>
            </w:r>
          </w:p>
        </w:tc>
        <w:tc>
          <w:tcPr>
            <w:tcW w:w="5562" w:type="dxa"/>
            <w:tcBorders/>
          </w:tcPr>
          <w:p>
            <w:pPr>
              <w:pStyle w:val="Normal"/>
              <w:widowControl/>
              <w:bidi w:val="0"/>
              <w:spacing w:lineRule="auto" w:line="360" w:before="0" w:after="0"/>
              <w:jc w:val="start"/>
              <w:rPr>
                <w:i/>
                <w:i/>
                <w:iCs/>
                <w:lang w:val="en-US"/>
              </w:rPr>
            </w:pPr>
            <w:r>
              <w:rPr>
                <w:rFonts w:eastAsia="Calibri" w:cs="Times New Roman"/>
                <w:i/>
                <w:iCs/>
                <w:kern w:val="2"/>
                <w:sz w:val="20"/>
                <w:szCs w:val="20"/>
                <w:lang w:val="en-US" w:eastAsia="en-US" w:bidi="ar-SA"/>
              </w:rPr>
              <w:t>Thiopurine metabolite tests are not available in many countries, but where available can help explain the lack of response.</w:t>
            </w:r>
          </w:p>
        </w:tc>
        <w:tc>
          <w:tcPr>
            <w:tcW w:w="4678" w:type="dxa"/>
            <w:tcBorders/>
          </w:tcPr>
          <w:p>
            <w:pPr>
              <w:pStyle w:val="Normal"/>
              <w:widowControl/>
              <w:bidi w:val="0"/>
              <w:spacing w:lineRule="auto" w:line="360" w:before="0" w:after="0"/>
              <w:jc w:val="start"/>
              <w:rPr>
                <w:i/>
                <w:i/>
                <w:iCs/>
                <w:lang w:val="en-US"/>
              </w:rPr>
            </w:pPr>
            <w:r>
              <w:rPr>
                <w:rFonts w:eastAsia="Calibri" w:cs="Times New Roman"/>
                <w:i/>
                <w:iCs/>
                <w:kern w:val="2"/>
                <w:sz w:val="20"/>
                <w:szCs w:val="20"/>
                <w:lang w:val="en-US" w:eastAsia="en-US" w:bidi="ar-SA"/>
              </w:rPr>
              <w:t>Do not offer azathioprine or mercaptopurine for CD or UC if thiopurine methyltransferase activity (TPMT) is deficient. Use at a lower dose if TPMT activity is below normal.</w:t>
            </w:r>
          </w:p>
          <w:p>
            <w:pPr>
              <w:pStyle w:val="Normal"/>
              <w:widowControl/>
              <w:bidi w:val="0"/>
              <w:spacing w:lineRule="auto" w:line="360" w:before="0" w:after="0"/>
              <w:jc w:val="start"/>
              <w:rPr>
                <w:i/>
                <w:i/>
                <w:iCs/>
                <w:lang w:val="en-US"/>
              </w:rPr>
            </w:pPr>
            <w:r>
              <w:rPr>
                <w:rFonts w:eastAsia="Calibri" w:cs="Times New Roman"/>
                <w:i/>
                <w:iCs/>
                <w:kern w:val="2"/>
                <w:sz w:val="20"/>
                <w:szCs w:val="20"/>
                <w:lang w:val="en-US" w:eastAsia="en-US" w:bidi="ar-SA"/>
              </w:rPr>
              <w:t>If TPMT measurement is not available, the thiopurine dose should be escalated from 50 mg to the full dose while monitoring the blood count. Asians appear to require lower doses of thiopurine to achieve efficacy, and the full dosage is usually limited by the development of cytopenia.</w:t>
            </w:r>
          </w:p>
          <w:p>
            <w:pPr>
              <w:pStyle w:val="Normal"/>
              <w:widowControl/>
              <w:bidi w:val="0"/>
              <w:spacing w:lineRule="auto" w:line="360" w:before="0" w:after="0"/>
              <w:jc w:val="start"/>
              <w:rPr>
                <w:i/>
                <w:i/>
                <w:iCs/>
                <w:lang w:val="en-US"/>
              </w:rPr>
            </w:pPr>
            <w:r>
              <w:rPr>
                <w:rFonts w:eastAsia="Calibri" w:cs="Times New Roman"/>
                <w:i/>
                <w:iCs/>
                <w:kern w:val="2"/>
                <w:sz w:val="20"/>
                <w:szCs w:val="20"/>
                <w:lang w:val="en-US" w:eastAsia="en-US" w:bidi="ar-SA"/>
              </w:rPr>
              <w:t>Patients should be monitored for neutropenia if they are taking azathioprine or mercaptopurine, even if TPMT enzyme levels are normal.</w:t>
            </w:r>
          </w:p>
        </w:tc>
        <w:tc>
          <w:tcPr>
            <w:tcW w:w="2804" w:type="dxa"/>
            <w:tcBorders/>
          </w:tcPr>
          <w:p>
            <w:pPr>
              <w:pStyle w:val="Normal"/>
              <w:widowControl/>
              <w:bidi w:val="0"/>
              <w:spacing w:lineRule="auto" w:line="360" w:before="0" w:after="0"/>
              <w:jc w:val="start"/>
              <w:rPr>
                <w:i/>
                <w:i/>
                <w:iCs/>
                <w:lang w:val="en-US"/>
              </w:rPr>
            </w:pPr>
            <w:r>
              <w:rPr>
                <w:rFonts w:eastAsia="Calibri" w:cs="Times New Roman"/>
                <w:i/>
                <w:iCs/>
                <w:kern w:val="2"/>
                <w:sz w:val="20"/>
                <w:szCs w:val="20"/>
                <w:lang w:val="en-US" w:eastAsia="en-US" w:bidi="ar-SA"/>
              </w:rPr>
              <w:t>Not mentioned.</w:t>
            </w:r>
          </w:p>
        </w:tc>
      </w:tr>
      <w:tr>
        <w:trPr>
          <w:trHeight w:val="350" w:hRule="atLeast"/>
        </w:trPr>
        <w:tc>
          <w:tcPr>
            <w:tcW w:w="1804" w:type="dxa"/>
            <w:tcBorders/>
          </w:tcPr>
          <w:p>
            <w:pPr>
              <w:pStyle w:val="Normal"/>
              <w:widowControl/>
              <w:bidi w:val="0"/>
              <w:spacing w:lineRule="auto" w:line="360" w:before="0" w:after="0"/>
              <w:jc w:val="start"/>
              <w:rPr>
                <w:lang w:val="en-US"/>
              </w:rPr>
            </w:pPr>
            <w:r>
              <w:rPr>
                <w:rFonts w:eastAsia="Calibri" w:cs="Times New Roman"/>
                <w:kern w:val="2"/>
                <w:sz w:val="20"/>
                <w:szCs w:val="20"/>
                <w:lang w:val="en-US" w:eastAsia="en-US" w:bidi="ar-SA"/>
              </w:rPr>
              <w:t>ECCO e-Guide 2.0</w:t>
            </w:r>
            <w:r>
              <w:fldChar w:fldCharType="begin"/>
            </w:r>
            <w:r>
              <w:rPr>
                <w:sz w:val="20"/>
                <w:kern w:val="2"/>
                <w:szCs w:val="20"/>
                <w:rFonts w:eastAsia="Calibri" w:cs="Times New Roman"/>
                <w:lang w:val="en-US" w:eastAsia="en-US" w:bidi="ar-SA"/>
              </w:rPr>
              <w:instrText xml:space="preserve">ADDIN EN.CITE &lt;EndNote&gt;&lt;Cite&gt;&lt;Year&gt;2019&lt;/Year&gt;&lt;RecNum&gt;474&lt;/RecNum&gt;&lt;DisplayText&gt;&lt;style face="superscript"&gt;9&lt;/style&gt;&lt;/DisplayText&gt;&lt;record&gt;&lt;rec-number&gt;474&lt;/rec-number&gt;&lt;foreign-keys&gt;&lt;key app="EN" db-id="rs5a55vvspxz5uespwzvws0ppwexpv9rr5re" timestamp="1741100697"&gt;474&lt;/key&gt;&lt;/foreign-keys&gt;&lt;ref-type name="Generic"&gt;13&lt;/ref-type&gt;&lt;contributors&gt;&lt;/contributors&gt;&lt;titles&gt;&lt;title&gt;ECCO e-Guide 2.0 - Thiopurines - https://www.e-guide.ecco-ibd.eu/interventions-therapeutic/thiopurines&lt;/title&gt;&lt;/titles&gt;&lt;dates&gt;&lt;year&gt;2019&lt;/year&gt;&lt;/dates&gt;&lt;urls&gt;&lt;/urls&gt;&lt;/record&gt;&lt;/Cite&gt;&lt;/EndNote&gt;</w:instrText>
            </w:r>
            <w:r>
              <w:rPr>
                <w:rFonts w:eastAsia="Calibri" w:cs="Times New Roman"/>
                <w:kern w:val="2"/>
                <w:sz w:val="20"/>
                <w:szCs w:val="20"/>
                <w:lang w:val="en-US" w:eastAsia="en-US" w:bidi="ar-SA"/>
              </w:rPr>
            </w:r>
            <w:r>
              <w:rPr>
                <w:sz w:val="20"/>
                <w:kern w:val="2"/>
                <w:szCs w:val="20"/>
                <w:rFonts w:eastAsia="Calibri" w:cs="Times New Roman"/>
                <w:lang w:val="en-US" w:eastAsia="en-US" w:bidi="ar-SA"/>
              </w:rPr>
              <w:fldChar w:fldCharType="separate"/>
            </w:r>
            <w:r>
              <w:rPr>
                <w:rFonts w:eastAsia="Calibri" w:cs="Times New Roman"/>
                <w:kern w:val="2"/>
                <w:sz w:val="20"/>
                <w:szCs w:val="20"/>
                <w:lang w:val="en-US" w:eastAsia="en-US" w:bidi="ar-SA"/>
              </w:rPr>
            </w:r>
            <w:r>
              <w:rPr>
                <w:rFonts w:eastAsia="Calibri" w:cs="Times New Roman"/>
                <w:kern w:val="2"/>
                <w:sz w:val="20"/>
                <w:szCs w:val="20"/>
                <w:vertAlign w:val="superscript"/>
                <w:lang w:val="en-US" w:eastAsia="en-US" w:bidi="ar-SA"/>
              </w:rPr>
              <w:t>9</w:t>
            </w:r>
            <w:r>
              <w:rPr>
                <w:rFonts w:eastAsia="Calibri" w:cs="Times New Roman"/>
                <w:kern w:val="2"/>
                <w:sz w:val="20"/>
                <w:szCs w:val="20"/>
                <w:lang w:val="en-US" w:eastAsia="en-US" w:bidi="ar-SA"/>
              </w:rPr>
            </w:r>
            <w:r>
              <w:rPr>
                <w:sz w:val="20"/>
                <w:kern w:val="2"/>
                <w:szCs w:val="20"/>
                <w:rFonts w:eastAsia="Calibri" w:cs="Times New Roman"/>
                <w:lang w:val="en-US" w:eastAsia="en-US" w:bidi="ar-SA"/>
              </w:rPr>
              <w:fldChar w:fldCharType="end"/>
            </w:r>
            <w:r>
              <w:rPr>
                <w:rFonts w:eastAsia="Calibri" w:cs="Times New Roman"/>
                <w:kern w:val="2"/>
                <w:sz w:val="20"/>
                <w:szCs w:val="20"/>
                <w:lang w:val="en-US" w:eastAsia="en-US" w:bidi="ar-SA"/>
              </w:rPr>
              <w:t xml:space="preserve"> </w:t>
            </w:r>
          </w:p>
        </w:tc>
        <w:tc>
          <w:tcPr>
            <w:tcW w:w="5562" w:type="dxa"/>
            <w:tcBorders/>
          </w:tcPr>
          <w:p>
            <w:pPr>
              <w:pStyle w:val="Normal"/>
              <w:widowControl/>
              <w:bidi w:val="0"/>
              <w:spacing w:lineRule="auto" w:line="360" w:before="0" w:after="0"/>
              <w:jc w:val="start"/>
              <w:rPr>
                <w:i/>
                <w:i/>
                <w:iCs/>
                <w:lang w:val="en-US"/>
              </w:rPr>
            </w:pPr>
            <w:r>
              <w:rPr>
                <w:rFonts w:eastAsia="Calibri" w:cs="Times New Roman"/>
                <w:i/>
                <w:iCs/>
                <w:kern w:val="2"/>
                <w:sz w:val="20"/>
                <w:szCs w:val="20"/>
                <w:lang w:val="en-US" w:eastAsia="en-US" w:bidi="ar-SA"/>
              </w:rPr>
              <w:t>If patients relapse on therapy, optimize dose: Metabolite testing (6-TGN and MMP).</w:t>
            </w:r>
          </w:p>
        </w:tc>
        <w:tc>
          <w:tcPr>
            <w:tcW w:w="4678" w:type="dxa"/>
            <w:tcBorders/>
          </w:tcPr>
          <w:p>
            <w:pPr>
              <w:pStyle w:val="Normal"/>
              <w:widowControl/>
              <w:bidi w:val="0"/>
              <w:spacing w:lineRule="auto" w:line="360" w:before="0" w:after="0"/>
              <w:jc w:val="start"/>
              <w:rPr>
                <w:i/>
                <w:i/>
                <w:iCs/>
                <w:lang w:val="en-US"/>
              </w:rPr>
            </w:pPr>
            <w:r>
              <w:rPr>
                <w:rFonts w:eastAsia="Calibri" w:cs="Times New Roman"/>
                <w:i/>
                <w:iCs/>
                <w:kern w:val="2"/>
                <w:sz w:val="20"/>
                <w:szCs w:val="20"/>
                <w:lang w:val="en-US" w:eastAsia="en-US" w:bidi="ar-SA"/>
              </w:rPr>
              <w:t>Reduce the dose by 50% if the TPMT level is low, but do not use thiopurines if TPMT is very low/absent (increased risk of developing severe, life-threatening myelotoxicity). TPMT testing cannot substitute for complete blood count (CBC) monitoring in patients receiving thiopurines.</w:t>
            </w:r>
          </w:p>
        </w:tc>
        <w:tc>
          <w:tcPr>
            <w:tcW w:w="2804" w:type="dxa"/>
            <w:tcBorders/>
          </w:tcPr>
          <w:p>
            <w:pPr>
              <w:pStyle w:val="Normal"/>
              <w:widowControl/>
              <w:bidi w:val="0"/>
              <w:spacing w:lineRule="auto" w:line="360" w:before="0" w:after="0"/>
              <w:jc w:val="start"/>
              <w:rPr>
                <w:i/>
                <w:i/>
                <w:iCs/>
                <w:lang w:val="en-US"/>
              </w:rPr>
            </w:pPr>
            <w:r>
              <w:rPr>
                <w:rFonts w:eastAsia="Calibri" w:cs="Times New Roman"/>
                <w:i/>
                <w:iCs/>
                <w:kern w:val="2"/>
                <w:sz w:val="20"/>
                <w:szCs w:val="20"/>
                <w:lang w:val="en-US" w:eastAsia="en-US" w:bidi="ar-SA"/>
              </w:rPr>
              <w:t>Not mentioned.</w:t>
            </w:r>
          </w:p>
        </w:tc>
      </w:tr>
      <w:tr>
        <w:trPr>
          <w:trHeight w:val="364" w:hRule="atLeast"/>
        </w:trPr>
        <w:tc>
          <w:tcPr>
            <w:tcW w:w="1804" w:type="dxa"/>
            <w:tcBorders/>
          </w:tcPr>
          <w:p>
            <w:pPr>
              <w:pStyle w:val="Normal"/>
              <w:widowControl/>
              <w:bidi w:val="0"/>
              <w:spacing w:lineRule="auto" w:line="360" w:before="0" w:after="0"/>
              <w:jc w:val="start"/>
              <w:rPr>
                <w:lang w:val="en-US"/>
              </w:rPr>
            </w:pPr>
            <w:r>
              <w:rPr>
                <w:rFonts w:eastAsia="Calibri" w:cs="Times New Roman"/>
                <w:kern w:val="2"/>
                <w:sz w:val="20"/>
                <w:szCs w:val="20"/>
                <w:lang w:val="en-US" w:eastAsia="en-US" w:bidi="ar-SA"/>
              </w:rPr>
              <w:t>Lamb et al.</w:t>
            </w:r>
            <w:r>
              <w:fldChar w:fldCharType="begin"/>
            </w:r>
            <w:r>
              <w:rPr>
                <w:sz w:val="20"/>
                <w:kern w:val="2"/>
                <w:szCs w:val="20"/>
                <w:rFonts w:eastAsia="Calibri" w:cs="Times New Roman"/>
                <w:lang w:val="en-US" w:eastAsia="en-US" w:bidi="ar-SA"/>
              </w:rPr>
              <w:instrText xml:space="preserve">ADDIN EN.CITE</w:instrText>
            </w:r>
            <w:r>
              <w:rPr>
                <w:rFonts w:eastAsia="Calibri" w:cs="Times New Roman"/>
                <w:kern w:val="2"/>
                <w:sz w:val="20"/>
                <w:szCs w:val="20"/>
                <w:lang w:val="en-US" w:eastAsia="en-US" w:bidi="ar-SA"/>
              </w:rPr>
            </w:r>
            <w:r>
              <w:fldChar w:fldCharType="begin"/>
            </w:r>
            <w:r>
              <w:rPr>
                <w:sz w:val="20"/>
                <w:kern w:val="2"/>
                <w:szCs w:val="20"/>
                <w:rFonts w:eastAsia="Calibri" w:cs="Times New Roman"/>
                <w:lang w:val="en-US" w:eastAsia="en-US" w:bidi="ar-SA"/>
              </w:rPr>
              <w:instrText xml:space="preserve">ADDIN EN.CITE.DATA</w:instrText>
            </w:r>
            <w:r>
              <w:rPr>
                <w:rFonts w:eastAsia="Calibri" w:cs="Times New Roman"/>
                <w:kern w:val="2"/>
                <w:sz w:val="20"/>
                <w:szCs w:val="20"/>
                <w:lang w:val="en-US" w:eastAsia="en-US" w:bidi="ar-SA"/>
              </w:rPr>
            </w:r>
            <w:r>
              <w:rPr>
                <w:sz w:val="20"/>
                <w:kern w:val="2"/>
                <w:szCs w:val="20"/>
                <w:rFonts w:eastAsia="Calibri" w:cs="Times New Roman"/>
                <w:lang w:val="en-US" w:eastAsia="en-US" w:bidi="ar-SA"/>
              </w:rPr>
              <w:fldChar w:fldCharType="separate"/>
            </w:r>
            <w:r>
              <w:rPr>
                <w:rFonts w:eastAsia="Calibri" w:cs="Times New Roman"/>
                <w:kern w:val="2"/>
                <w:sz w:val="20"/>
                <w:szCs w:val="20"/>
                <w:lang w:val="en-US" w:eastAsia="en-US" w:bidi="ar-SA"/>
              </w:rPr>
            </w:r>
            <w:r>
              <w:rPr>
                <w:rFonts w:eastAsia="Calibri" w:cs="Times New Roman"/>
                <w:kern w:val="2"/>
                <w:sz w:val="20"/>
                <w:szCs w:val="20"/>
                <w:lang w:val="en-US" w:eastAsia="en-US" w:bidi="ar-SA"/>
              </w:rPr>
            </w:r>
            <w:r>
              <w:rPr>
                <w:sz w:val="20"/>
                <w:kern w:val="2"/>
                <w:szCs w:val="20"/>
                <w:rFonts w:eastAsia="Calibri" w:cs="Times New Roman"/>
                <w:lang w:val="en-US" w:eastAsia="en-US" w:bidi="ar-SA"/>
              </w:rPr>
              <w:fldChar w:fldCharType="end"/>
            </w:r>
            <w:r>
              <w:rPr>
                <w:sz w:val="20"/>
                <w:kern w:val="2"/>
                <w:szCs w:val="20"/>
                <w:rFonts w:eastAsia="Calibri" w:cs="Times New Roman"/>
                <w:lang w:val="en-US" w:eastAsia="en-US" w:bidi="ar-SA"/>
              </w:rPr>
              <w:fldChar w:fldCharType="separate"/>
            </w:r>
            <w:r>
              <w:rPr>
                <w:rFonts w:eastAsia="Calibri" w:cs="Times New Roman"/>
                <w:kern w:val="2"/>
                <w:sz w:val="20"/>
                <w:szCs w:val="20"/>
                <w:lang w:val="en-US" w:eastAsia="en-US" w:bidi="ar-SA"/>
              </w:rPr>
            </w:r>
            <w:r>
              <w:rPr>
                <w:rFonts w:eastAsia="Calibri" w:cs="Times New Roman"/>
                <w:kern w:val="2"/>
                <w:sz w:val="20"/>
                <w:szCs w:val="20"/>
                <w:vertAlign w:val="superscript"/>
                <w:lang w:val="en-US" w:eastAsia="en-US" w:bidi="ar-SA"/>
              </w:rPr>
              <w:t>10</w:t>
            </w:r>
            <w:r/>
            <w:r>
              <w:rPr>
                <w:sz w:val="20"/>
                <w:kern w:val="2"/>
                <w:szCs w:val="20"/>
                <w:rFonts w:eastAsia="Calibri" w:cs="Times New Roman"/>
                <w:lang w:val="en-US" w:eastAsia="en-US" w:bidi="ar-SA"/>
              </w:rPr>
              <w:fldChar w:fldCharType="end"/>
            </w:r>
            <w:r>
              <w:rPr>
                <w:rFonts w:eastAsia="Calibri" w:cs="Times New Roman"/>
                <w:kern w:val="2"/>
                <w:sz w:val="20"/>
                <w:szCs w:val="20"/>
                <w:lang w:val="en-US" w:eastAsia="en-US" w:bidi="ar-SA"/>
              </w:rPr>
            </w:r>
          </w:p>
        </w:tc>
        <w:tc>
          <w:tcPr>
            <w:tcW w:w="5562" w:type="dxa"/>
            <w:tcBorders/>
          </w:tcPr>
          <w:p>
            <w:pPr>
              <w:pStyle w:val="Normal"/>
              <w:widowControl/>
              <w:bidi w:val="0"/>
              <w:spacing w:lineRule="auto" w:line="360" w:before="0" w:after="0"/>
              <w:jc w:val="start"/>
              <w:rPr>
                <w:i/>
                <w:i/>
                <w:iCs/>
                <w:lang w:val="en-US"/>
              </w:rPr>
            </w:pPr>
            <w:r>
              <w:rPr>
                <w:rFonts w:eastAsia="Calibri" w:cs="Times New Roman"/>
                <w:i/>
                <w:iCs/>
                <w:kern w:val="2"/>
                <w:sz w:val="20"/>
                <w:szCs w:val="20"/>
                <w:lang w:val="en-US" w:eastAsia="en-US" w:bidi="ar-SA"/>
              </w:rPr>
              <w:t>Thiopurine metabolites (TGN and MeMP) can be used to optimize drug dosing. We suggest that metabolite monitoring may be used for those with inadequate response to therapy or toxicity, but should not be a substitute for routine monitoring of blood tests (GRADE: weak recommendation, low-quality evidence. Agreement: 92.9%). We suggest that low-dose thiopurines (25–33% of the usual dose) used in combination with allopurinol 100</w:t>
            </w:r>
            <w:r>
              <w:rPr>
                <w:rFonts w:eastAsia="Calibri" w:cs="Arial" w:ascii="Arial" w:hAnsi="Arial"/>
                <w:i/>
                <w:iCs/>
                <w:kern w:val="2"/>
                <w:sz w:val="20"/>
                <w:szCs w:val="20"/>
                <w:lang w:val="en-US" w:eastAsia="en-US" w:bidi="ar-SA"/>
              </w:rPr>
              <w:t> </w:t>
            </w:r>
            <w:r>
              <w:rPr>
                <w:rFonts w:eastAsia="Calibri" w:cs="Times New Roman"/>
                <w:i/>
                <w:iCs/>
                <w:kern w:val="2"/>
                <w:sz w:val="20"/>
                <w:szCs w:val="20"/>
                <w:lang w:val="en-US" w:eastAsia="en-US" w:bidi="ar-SA"/>
              </w:rPr>
              <w:t>mg may be considered in patients with thiopurine hepatotoxicity, nausea or flu-like symptoms, or those who are hypermethylators (GRADE: weak recommendation, low-quality evidence. Agreement: 81.4%).</w:t>
            </w:r>
          </w:p>
          <w:p>
            <w:pPr>
              <w:pStyle w:val="Normal"/>
              <w:widowControl/>
              <w:bidi w:val="0"/>
              <w:spacing w:lineRule="auto" w:line="360" w:before="0" w:after="0"/>
              <w:jc w:val="start"/>
              <w:rPr>
                <w:i/>
                <w:i/>
                <w:iCs/>
                <w:lang w:val="en-US"/>
              </w:rPr>
            </w:pPr>
            <w:r>
              <w:rPr>
                <w:rFonts w:eastAsia="Calibri" w:cs="Times New Roman"/>
                <w:i/>
                <w:iCs/>
                <w:kern w:val="2"/>
                <w:sz w:val="20"/>
                <w:szCs w:val="20"/>
                <w:lang w:val="en-US" w:eastAsia="en-US" w:bidi="ar-SA"/>
              </w:rPr>
              <w:t>Check thiopurine metabolites and alter dosage.</w:t>
            </w:r>
          </w:p>
          <w:p>
            <w:pPr>
              <w:pStyle w:val="ListParagraph"/>
              <w:widowControl/>
              <w:numPr>
                <w:ilvl w:val="0"/>
                <w:numId w:val="1"/>
              </w:numPr>
              <w:bidi w:val="0"/>
              <w:spacing w:lineRule="auto" w:line="360" w:before="0" w:after="0"/>
              <w:jc w:val="start"/>
              <w:rPr>
                <w:i/>
                <w:i/>
                <w:iCs/>
                <w:lang w:val="en-US"/>
              </w:rPr>
            </w:pPr>
            <w:r>
              <w:rPr>
                <w:rFonts w:eastAsia="Calibri" w:cs="Times New Roman"/>
                <w:i/>
                <w:iCs/>
                <w:kern w:val="2"/>
                <w:sz w:val="20"/>
                <w:szCs w:val="20"/>
                <w:lang w:val="en-US" w:eastAsia="en-US" w:bidi="ar-SA"/>
              </w:rPr>
              <w:t>If TGN is high, then restart at a lower dose once the abnormality has resolved and monitor hematology and thiopurine metabolites carefully</w:t>
            </w:r>
          </w:p>
          <w:p>
            <w:pPr>
              <w:pStyle w:val="ListParagraph"/>
              <w:widowControl/>
              <w:numPr>
                <w:ilvl w:val="0"/>
                <w:numId w:val="1"/>
              </w:numPr>
              <w:bidi w:val="0"/>
              <w:spacing w:lineRule="auto" w:line="360" w:before="0" w:after="0"/>
              <w:jc w:val="start"/>
              <w:rPr>
                <w:i/>
                <w:i/>
                <w:iCs/>
                <w:lang w:val="en-US"/>
              </w:rPr>
            </w:pPr>
            <w:r>
              <w:rPr>
                <w:rFonts w:eastAsia="Calibri" w:cs="Times New Roman"/>
                <w:i/>
                <w:iCs/>
                <w:kern w:val="2"/>
                <w:sz w:val="20"/>
                <w:szCs w:val="20"/>
                <w:lang w:val="en-US" w:eastAsia="en-US" w:bidi="ar-SA"/>
              </w:rPr>
              <w:t>If MeMP is high, then consider restarting low-dose thiopurine with allopurinol 100</w:t>
            </w:r>
            <w:r>
              <w:rPr>
                <w:rFonts w:eastAsia="Calibri" w:cs="Arial" w:ascii="Arial" w:hAnsi="Arial"/>
                <w:i/>
                <w:iCs/>
                <w:kern w:val="2"/>
                <w:sz w:val="20"/>
                <w:szCs w:val="20"/>
                <w:lang w:val="en-US" w:eastAsia="en-US" w:bidi="ar-SA"/>
              </w:rPr>
              <w:t> </w:t>
            </w:r>
            <w:r>
              <w:rPr>
                <w:rFonts w:eastAsia="Calibri" w:cs="Times New Roman"/>
                <w:i/>
                <w:iCs/>
                <w:kern w:val="2"/>
                <w:sz w:val="20"/>
                <w:szCs w:val="20"/>
                <w:lang w:val="en-US" w:eastAsia="en-US" w:bidi="ar-SA"/>
              </w:rPr>
              <w:t>mg</w:t>
            </w:r>
          </w:p>
          <w:p>
            <w:pPr>
              <w:pStyle w:val="ListParagraph"/>
              <w:widowControl/>
              <w:numPr>
                <w:ilvl w:val="0"/>
                <w:numId w:val="1"/>
              </w:numPr>
              <w:bidi w:val="0"/>
              <w:spacing w:lineRule="auto" w:line="360" w:before="0" w:after="0"/>
              <w:jc w:val="start"/>
              <w:rPr>
                <w:lang w:val="en-US"/>
              </w:rPr>
            </w:pPr>
            <w:r>
              <w:rPr>
                <w:rFonts w:eastAsia="Calibri" w:cs="Times New Roman"/>
                <w:i/>
                <w:iCs/>
                <w:kern w:val="2"/>
                <w:sz w:val="20"/>
                <w:szCs w:val="20"/>
                <w:lang w:val="en-US" w:eastAsia="en-US" w:bidi="ar-SA"/>
              </w:rPr>
              <w:t>If TGN is low or normal, then likely to recur. Advise to stop thiopurine in this circumstance</w:t>
            </w:r>
          </w:p>
        </w:tc>
        <w:tc>
          <w:tcPr>
            <w:tcW w:w="4678" w:type="dxa"/>
            <w:tcBorders/>
          </w:tcPr>
          <w:p>
            <w:pPr>
              <w:pStyle w:val="Normal"/>
              <w:widowControl/>
              <w:bidi w:val="0"/>
              <w:spacing w:lineRule="auto" w:line="360" w:before="0" w:after="0"/>
              <w:jc w:val="start"/>
              <w:rPr>
                <w:i/>
                <w:i/>
                <w:iCs/>
                <w:lang w:val="en-US"/>
              </w:rPr>
            </w:pPr>
            <w:r>
              <w:rPr>
                <w:rFonts w:eastAsia="Calibri" w:cs="Times New Roman"/>
                <w:i/>
                <w:iCs/>
                <w:kern w:val="2"/>
                <w:sz w:val="20"/>
                <w:szCs w:val="20"/>
                <w:lang w:val="en-US" w:eastAsia="en-US" w:bidi="ar-SA"/>
              </w:rPr>
              <w:t>We recommend that all IBD patients considered for thiopurine therapy should have an assessment of thiopurine methyltransferase (TPMT) status (GRADE: strong recommendation, moderate-quality evidence. Agreement: 100%).</w:t>
            </w:r>
          </w:p>
          <w:p>
            <w:pPr>
              <w:pStyle w:val="Normal"/>
              <w:widowControl/>
              <w:bidi w:val="0"/>
              <w:spacing w:lineRule="auto" w:line="360" w:before="0" w:after="0"/>
              <w:jc w:val="start"/>
              <w:rPr>
                <w:i/>
                <w:i/>
                <w:iCs/>
                <w:lang w:val="en-US"/>
              </w:rPr>
            </w:pPr>
            <w:r>
              <w:rPr>
                <w:rFonts w:eastAsia="Calibri" w:cs="Times New Roman"/>
                <w:i/>
                <w:iCs/>
                <w:kern w:val="2"/>
                <w:sz w:val="20"/>
                <w:szCs w:val="20"/>
                <w:lang w:val="en-US" w:eastAsia="en-US" w:bidi="ar-SA"/>
              </w:rPr>
              <w:t>We recommend that thiopurines should be avoided in patients with low TPMT activity. The dose of thiopurine should be reduced to 50% in those with intermediate thiopurine activity. (GRADE: strong recommendation, moderate-quality evidence. Agreement: 100%).</w:t>
            </w:r>
          </w:p>
          <w:p>
            <w:pPr>
              <w:pStyle w:val="Normal"/>
              <w:widowControl/>
              <w:bidi w:val="0"/>
              <w:spacing w:lineRule="auto" w:line="360" w:before="0" w:after="0"/>
              <w:jc w:val="start"/>
              <w:rPr>
                <w:i/>
                <w:i/>
                <w:iCs/>
                <w:lang w:val="en-US"/>
              </w:rPr>
            </w:pPr>
            <w:r>
              <w:rPr>
                <w:rFonts w:eastAsia="Calibri" w:cs="Times New Roman"/>
                <w:i/>
                <w:iCs/>
                <w:kern w:val="2"/>
                <w:sz w:val="20"/>
                <w:szCs w:val="20"/>
                <w:lang w:val="en-US" w:eastAsia="en-US" w:bidi="ar-SA"/>
              </w:rPr>
            </w:r>
          </w:p>
          <w:p>
            <w:pPr>
              <w:pStyle w:val="Normal"/>
              <w:widowControl/>
              <w:bidi w:val="0"/>
              <w:spacing w:lineRule="auto" w:line="360" w:before="0" w:after="0"/>
              <w:jc w:val="start"/>
              <w:rPr>
                <w:i/>
                <w:i/>
                <w:iCs/>
                <w:lang w:val="en-US"/>
              </w:rPr>
            </w:pPr>
            <w:r>
              <w:rPr>
                <w:rFonts w:eastAsia="Calibri" w:cs="Times New Roman"/>
                <w:i/>
                <w:iCs/>
                <w:kern w:val="2"/>
                <w:sz w:val="20"/>
                <w:szCs w:val="20"/>
                <w:lang w:val="en-US" w:eastAsia="en-US" w:bidi="ar-SA"/>
              </w:rPr>
              <w:t>Check TPMT and start at the target dose once the result is available. Normal TPMT: 2</w:t>
            </w:r>
            <w:r>
              <w:rPr>
                <w:rFonts w:eastAsia="Calibri" w:cs="Arial" w:ascii="Arial" w:hAnsi="Arial"/>
                <w:i/>
                <w:iCs/>
                <w:kern w:val="2"/>
                <w:sz w:val="20"/>
                <w:szCs w:val="20"/>
                <w:lang w:val="en-US" w:eastAsia="en-US" w:bidi="ar-SA"/>
              </w:rPr>
              <w:t> </w:t>
            </w:r>
            <w:r>
              <w:rPr>
                <w:rFonts w:eastAsia="Calibri" w:cs="Times New Roman"/>
                <w:i/>
                <w:iCs/>
                <w:kern w:val="2"/>
                <w:sz w:val="20"/>
                <w:szCs w:val="20"/>
                <w:lang w:val="en-US" w:eastAsia="en-US" w:bidi="ar-SA"/>
              </w:rPr>
              <w:t>mg/kg azathioprine or 1</w:t>
            </w:r>
            <w:r>
              <w:rPr>
                <w:rFonts w:eastAsia="Calibri" w:cs="Arial" w:ascii="Arial" w:hAnsi="Arial"/>
                <w:i/>
                <w:iCs/>
                <w:kern w:val="2"/>
                <w:sz w:val="20"/>
                <w:szCs w:val="20"/>
                <w:lang w:val="en-US" w:eastAsia="en-US" w:bidi="ar-SA"/>
              </w:rPr>
              <w:t> </w:t>
            </w:r>
            <w:r>
              <w:rPr>
                <w:rFonts w:eastAsia="Calibri" w:cs="Times New Roman"/>
                <w:i/>
                <w:iCs/>
                <w:kern w:val="2"/>
                <w:sz w:val="20"/>
                <w:szCs w:val="20"/>
                <w:lang w:val="en-US" w:eastAsia="en-US" w:bidi="ar-SA"/>
              </w:rPr>
              <w:t>mg/kg mercaptopurine. Low: 1</w:t>
            </w:r>
            <w:r>
              <w:rPr>
                <w:rFonts w:eastAsia="Calibri" w:cs="Arial" w:ascii="Arial" w:hAnsi="Arial"/>
                <w:i/>
                <w:iCs/>
                <w:kern w:val="2"/>
                <w:sz w:val="20"/>
                <w:szCs w:val="20"/>
                <w:lang w:val="en-US" w:eastAsia="en-US" w:bidi="ar-SA"/>
              </w:rPr>
              <w:t> </w:t>
            </w:r>
            <w:r>
              <w:rPr>
                <w:rFonts w:eastAsia="Calibri" w:cs="Times New Roman"/>
                <w:i/>
                <w:iCs/>
                <w:kern w:val="2"/>
                <w:sz w:val="20"/>
                <w:szCs w:val="20"/>
                <w:lang w:val="en-US" w:eastAsia="en-US" w:bidi="ar-SA"/>
              </w:rPr>
              <w:t>mg/kg azathioprine or 0.5</w:t>
            </w:r>
            <w:r>
              <w:rPr>
                <w:rFonts w:eastAsia="Calibri" w:cs="Arial" w:ascii="Arial" w:hAnsi="Arial"/>
                <w:i/>
                <w:iCs/>
                <w:kern w:val="2"/>
                <w:sz w:val="20"/>
                <w:szCs w:val="20"/>
                <w:lang w:val="en-US" w:eastAsia="en-US" w:bidi="ar-SA"/>
              </w:rPr>
              <w:t> </w:t>
            </w:r>
            <w:r>
              <w:rPr>
                <w:rFonts w:eastAsia="Calibri" w:cs="Times New Roman"/>
                <w:i/>
                <w:iCs/>
                <w:kern w:val="2"/>
                <w:sz w:val="20"/>
                <w:szCs w:val="20"/>
                <w:lang w:val="en-US" w:eastAsia="en-US" w:bidi="ar-SA"/>
              </w:rPr>
              <w:t>mg/kg mercaptopurine. Very low: avoid thiopurine.</w:t>
            </w:r>
          </w:p>
        </w:tc>
        <w:tc>
          <w:tcPr>
            <w:tcW w:w="2804" w:type="dxa"/>
            <w:tcBorders/>
          </w:tcPr>
          <w:p>
            <w:pPr>
              <w:pStyle w:val="Normal"/>
              <w:widowControl/>
              <w:bidi w:val="0"/>
              <w:spacing w:lineRule="auto" w:line="360" w:before="0" w:after="0"/>
              <w:jc w:val="start"/>
              <w:rPr>
                <w:i/>
                <w:i/>
                <w:iCs/>
                <w:lang w:val="en-US"/>
              </w:rPr>
            </w:pPr>
            <w:r>
              <w:rPr>
                <w:rFonts w:eastAsia="Calibri" w:cs="Times New Roman"/>
                <w:i/>
                <w:iCs/>
                <w:kern w:val="2"/>
                <w:sz w:val="20"/>
                <w:szCs w:val="20"/>
                <w:lang w:val="en-US" w:eastAsia="en-US" w:bidi="ar-SA"/>
              </w:rPr>
              <w:t>If available, test NUDT15 genotype.</w:t>
            </w:r>
          </w:p>
        </w:tc>
      </w:tr>
      <w:tr>
        <w:trPr>
          <w:trHeight w:val="350" w:hRule="atLeast"/>
        </w:trPr>
        <w:tc>
          <w:tcPr>
            <w:tcW w:w="1804" w:type="dxa"/>
            <w:tcBorders/>
          </w:tcPr>
          <w:p>
            <w:pPr>
              <w:pStyle w:val="Normal"/>
              <w:widowControl/>
              <w:bidi w:val="0"/>
              <w:spacing w:lineRule="auto" w:line="360" w:before="0" w:after="0"/>
              <w:jc w:val="start"/>
              <w:rPr>
                <w:lang w:val="en-US"/>
              </w:rPr>
            </w:pPr>
            <w:r>
              <w:rPr>
                <w:rFonts w:eastAsia="Calibri" w:cs="Times New Roman"/>
                <w:kern w:val="2"/>
                <w:sz w:val="20"/>
                <w:szCs w:val="20"/>
                <w:lang w:val="en-US" w:eastAsia="en-US" w:bidi="ar-SA"/>
              </w:rPr>
              <w:t>Bermejo et al.</w:t>
            </w:r>
            <w:r>
              <w:fldChar w:fldCharType="begin"/>
            </w:r>
            <w:r>
              <w:rPr>
                <w:sz w:val="20"/>
                <w:kern w:val="2"/>
                <w:szCs w:val="20"/>
                <w:rFonts w:eastAsia="Calibri" w:cs="Times New Roman"/>
                <w:lang w:val="en-US" w:eastAsia="en-US" w:bidi="ar-SA"/>
              </w:rPr>
              <w:instrText xml:space="preserve">ADDIN EN.CITE</w:instrText>
            </w:r>
            <w:r>
              <w:rPr>
                <w:rFonts w:eastAsia="Calibri" w:cs="Times New Roman"/>
                <w:kern w:val="2"/>
                <w:sz w:val="20"/>
                <w:szCs w:val="20"/>
                <w:lang w:val="en-US" w:eastAsia="en-US" w:bidi="ar-SA"/>
              </w:rPr>
            </w:r>
            <w:r>
              <w:fldChar w:fldCharType="begin"/>
            </w:r>
            <w:r>
              <w:rPr>
                <w:sz w:val="20"/>
                <w:kern w:val="2"/>
                <w:szCs w:val="20"/>
                <w:rFonts w:eastAsia="Calibri" w:cs="Times New Roman"/>
                <w:lang w:val="en-US" w:eastAsia="en-US" w:bidi="ar-SA"/>
              </w:rPr>
              <w:instrText xml:space="preserve">ADDIN EN.CITE.DATA</w:instrText>
            </w:r>
            <w:r>
              <w:rPr>
                <w:rFonts w:eastAsia="Calibri" w:cs="Times New Roman"/>
                <w:kern w:val="2"/>
                <w:sz w:val="20"/>
                <w:szCs w:val="20"/>
                <w:lang w:val="en-US" w:eastAsia="en-US" w:bidi="ar-SA"/>
              </w:rPr>
            </w:r>
            <w:r>
              <w:rPr>
                <w:sz w:val="20"/>
                <w:kern w:val="2"/>
                <w:szCs w:val="20"/>
                <w:rFonts w:eastAsia="Calibri" w:cs="Times New Roman"/>
                <w:lang w:val="en-US" w:eastAsia="en-US" w:bidi="ar-SA"/>
              </w:rPr>
              <w:fldChar w:fldCharType="separate"/>
            </w:r>
            <w:r>
              <w:rPr>
                <w:rFonts w:eastAsia="Calibri" w:cs="Times New Roman"/>
                <w:kern w:val="2"/>
                <w:sz w:val="20"/>
                <w:szCs w:val="20"/>
                <w:lang w:val="en-US" w:eastAsia="en-US" w:bidi="ar-SA"/>
              </w:rPr>
            </w:r>
            <w:r>
              <w:rPr>
                <w:rFonts w:eastAsia="Calibri" w:cs="Times New Roman"/>
                <w:kern w:val="2"/>
                <w:sz w:val="20"/>
                <w:szCs w:val="20"/>
                <w:lang w:val="en-US" w:eastAsia="en-US" w:bidi="ar-SA"/>
              </w:rPr>
            </w:r>
            <w:r>
              <w:rPr>
                <w:sz w:val="20"/>
                <w:kern w:val="2"/>
                <w:szCs w:val="20"/>
                <w:rFonts w:eastAsia="Calibri" w:cs="Times New Roman"/>
                <w:lang w:val="en-US" w:eastAsia="en-US" w:bidi="ar-SA"/>
              </w:rPr>
              <w:fldChar w:fldCharType="end"/>
            </w:r>
            <w:r>
              <w:rPr>
                <w:sz w:val="20"/>
                <w:kern w:val="2"/>
                <w:szCs w:val="20"/>
                <w:rFonts w:eastAsia="Calibri" w:cs="Times New Roman"/>
                <w:lang w:val="en-US" w:eastAsia="en-US" w:bidi="ar-SA"/>
              </w:rPr>
              <w:fldChar w:fldCharType="separate"/>
            </w:r>
            <w:r>
              <w:rPr>
                <w:rFonts w:eastAsia="Calibri" w:cs="Times New Roman"/>
                <w:kern w:val="2"/>
                <w:sz w:val="20"/>
                <w:szCs w:val="20"/>
                <w:lang w:val="en-US" w:eastAsia="en-US" w:bidi="ar-SA"/>
              </w:rPr>
            </w:r>
            <w:r>
              <w:rPr>
                <w:rFonts w:eastAsia="Calibri" w:cs="Times New Roman"/>
                <w:kern w:val="2"/>
                <w:sz w:val="20"/>
                <w:szCs w:val="20"/>
                <w:vertAlign w:val="superscript"/>
                <w:lang w:val="en-US" w:eastAsia="en-US" w:bidi="ar-SA"/>
              </w:rPr>
              <w:t>11</w:t>
            </w:r>
            <w:r/>
            <w:r>
              <w:rPr>
                <w:sz w:val="20"/>
                <w:kern w:val="2"/>
                <w:szCs w:val="20"/>
                <w:rFonts w:eastAsia="Calibri" w:cs="Times New Roman"/>
                <w:lang w:val="en-US" w:eastAsia="en-US" w:bidi="ar-SA"/>
              </w:rPr>
              <w:fldChar w:fldCharType="end"/>
            </w:r>
            <w:r>
              <w:rPr>
                <w:rFonts w:eastAsia="Calibri" w:cs="Times New Roman"/>
                <w:kern w:val="2"/>
                <w:sz w:val="20"/>
                <w:szCs w:val="20"/>
                <w:lang w:val="en-US" w:eastAsia="en-US" w:bidi="ar-SA"/>
              </w:rPr>
            </w:r>
          </w:p>
        </w:tc>
        <w:tc>
          <w:tcPr>
            <w:tcW w:w="5562" w:type="dxa"/>
            <w:tcBorders/>
          </w:tcPr>
          <w:p>
            <w:pPr>
              <w:pStyle w:val="Normal"/>
              <w:widowControl/>
              <w:bidi w:val="0"/>
              <w:spacing w:lineRule="auto" w:line="360" w:before="0" w:after="0"/>
              <w:jc w:val="start"/>
              <w:rPr>
                <w:i/>
                <w:i/>
                <w:iCs/>
                <w:lang w:val="en-US"/>
              </w:rPr>
            </w:pPr>
            <w:r>
              <w:rPr>
                <w:rFonts w:eastAsia="Calibri" w:cs="Times New Roman"/>
                <w:i/>
                <w:iCs/>
                <w:kern w:val="2"/>
                <w:sz w:val="20"/>
                <w:szCs w:val="20"/>
                <w:lang w:val="en-US" w:eastAsia="en-US" w:bidi="ar-SA"/>
              </w:rPr>
              <w:t>It is possible to determine blood 6-TGN and 6-MMP concentration, which allows subjects with hypermethylation to be identified and underdosing and lack of treatment adherence to be detected.</w:t>
            </w:r>
          </w:p>
        </w:tc>
        <w:tc>
          <w:tcPr>
            <w:tcW w:w="4678" w:type="dxa"/>
            <w:tcBorders/>
          </w:tcPr>
          <w:p>
            <w:pPr>
              <w:pStyle w:val="Normal"/>
              <w:widowControl/>
              <w:bidi w:val="0"/>
              <w:spacing w:lineRule="auto" w:line="360" w:before="0" w:after="0"/>
              <w:jc w:val="start"/>
              <w:rPr>
                <w:i/>
                <w:i/>
                <w:iCs/>
                <w:lang w:val="en-US"/>
              </w:rPr>
            </w:pPr>
            <w:r>
              <w:rPr>
                <w:rFonts w:eastAsia="Calibri" w:cs="Times New Roman"/>
                <w:i/>
                <w:iCs/>
                <w:kern w:val="2"/>
                <w:sz w:val="20"/>
                <w:szCs w:val="20"/>
                <w:lang w:val="en-US" w:eastAsia="en-US" w:bidi="ar-SA"/>
              </w:rPr>
              <w:t>TPMT activity assays are not essential for starting thiopurine therapy. Nevertheless, if such assays are possible, they will allow greater safety at the start of treatment.</w:t>
            </w:r>
          </w:p>
        </w:tc>
        <w:tc>
          <w:tcPr>
            <w:tcW w:w="2804" w:type="dxa"/>
            <w:tcBorders/>
          </w:tcPr>
          <w:p>
            <w:pPr>
              <w:pStyle w:val="Normal"/>
              <w:widowControl/>
              <w:bidi w:val="0"/>
              <w:spacing w:lineRule="auto" w:line="360" w:before="0" w:after="0"/>
              <w:jc w:val="start"/>
              <w:rPr>
                <w:i/>
                <w:i/>
                <w:iCs/>
                <w:lang w:val="en-US"/>
              </w:rPr>
            </w:pPr>
            <w:r>
              <w:rPr>
                <w:rFonts w:eastAsia="Calibri" w:cs="Times New Roman"/>
                <w:i/>
                <w:iCs/>
                <w:kern w:val="2"/>
                <w:sz w:val="20"/>
                <w:szCs w:val="20"/>
                <w:lang w:val="en-US" w:eastAsia="en-US" w:bidi="ar-SA"/>
              </w:rPr>
              <w:t>Not mentioned.</w:t>
            </w:r>
          </w:p>
        </w:tc>
      </w:tr>
      <w:tr>
        <w:trPr>
          <w:trHeight w:val="350" w:hRule="atLeast"/>
        </w:trPr>
        <w:tc>
          <w:tcPr>
            <w:tcW w:w="1804" w:type="dxa"/>
            <w:tcBorders/>
          </w:tcPr>
          <w:p>
            <w:pPr>
              <w:pStyle w:val="Normal"/>
              <w:widowControl/>
              <w:bidi w:val="0"/>
              <w:spacing w:lineRule="auto" w:line="360" w:before="0" w:after="0"/>
              <w:jc w:val="start"/>
              <w:rPr>
                <w:lang w:val="en-US"/>
              </w:rPr>
            </w:pPr>
            <w:r>
              <w:rPr>
                <w:rFonts w:eastAsia="Calibri" w:cs="Times New Roman"/>
                <w:kern w:val="2"/>
                <w:sz w:val="20"/>
                <w:szCs w:val="20"/>
                <w:lang w:val="en-US" w:eastAsia="en-US" w:bidi="ar-SA"/>
              </w:rPr>
              <w:t>Biancone et al.</w:t>
            </w:r>
            <w:r>
              <w:fldChar w:fldCharType="begin"/>
            </w:r>
            <w:r>
              <w:rPr>
                <w:sz w:val="20"/>
                <w:kern w:val="2"/>
                <w:szCs w:val="20"/>
                <w:rFonts w:eastAsia="Calibri" w:cs="Times New Roman"/>
                <w:lang w:val="en-US" w:eastAsia="en-US" w:bidi="ar-SA"/>
              </w:rPr>
              <w:instrText xml:space="preserve">ADDIN EN.CITE</w:instrText>
            </w:r>
            <w:r>
              <w:rPr>
                <w:rFonts w:eastAsia="Calibri" w:cs="Times New Roman"/>
                <w:kern w:val="2"/>
                <w:sz w:val="20"/>
                <w:szCs w:val="20"/>
                <w:lang w:val="en-US" w:eastAsia="en-US" w:bidi="ar-SA"/>
              </w:rPr>
            </w:r>
            <w:r>
              <w:fldChar w:fldCharType="begin"/>
            </w:r>
            <w:r>
              <w:rPr>
                <w:sz w:val="20"/>
                <w:kern w:val="2"/>
                <w:szCs w:val="20"/>
                <w:rFonts w:eastAsia="Calibri" w:cs="Times New Roman"/>
                <w:lang w:val="en-US" w:eastAsia="en-US" w:bidi="ar-SA"/>
              </w:rPr>
              <w:instrText xml:space="preserve">ADDIN EN.CITE.DATA</w:instrText>
            </w:r>
            <w:r>
              <w:rPr>
                <w:rFonts w:eastAsia="Calibri" w:cs="Times New Roman"/>
                <w:kern w:val="2"/>
                <w:sz w:val="20"/>
                <w:szCs w:val="20"/>
                <w:lang w:val="en-US" w:eastAsia="en-US" w:bidi="ar-SA"/>
              </w:rPr>
            </w:r>
            <w:r>
              <w:rPr>
                <w:sz w:val="20"/>
                <w:kern w:val="2"/>
                <w:szCs w:val="20"/>
                <w:rFonts w:eastAsia="Calibri" w:cs="Times New Roman"/>
                <w:lang w:val="en-US" w:eastAsia="en-US" w:bidi="ar-SA"/>
              </w:rPr>
              <w:fldChar w:fldCharType="separate"/>
            </w:r>
            <w:r>
              <w:rPr>
                <w:rFonts w:eastAsia="Calibri" w:cs="Times New Roman"/>
                <w:kern w:val="2"/>
                <w:sz w:val="20"/>
                <w:szCs w:val="20"/>
                <w:lang w:val="en-US" w:eastAsia="en-US" w:bidi="ar-SA"/>
              </w:rPr>
            </w:r>
            <w:r>
              <w:rPr>
                <w:rFonts w:eastAsia="Calibri" w:cs="Times New Roman"/>
                <w:kern w:val="2"/>
                <w:sz w:val="20"/>
                <w:szCs w:val="20"/>
                <w:lang w:val="en-US" w:eastAsia="en-US" w:bidi="ar-SA"/>
              </w:rPr>
            </w:r>
            <w:r>
              <w:rPr>
                <w:sz w:val="20"/>
                <w:kern w:val="2"/>
                <w:szCs w:val="20"/>
                <w:rFonts w:eastAsia="Calibri" w:cs="Times New Roman"/>
                <w:lang w:val="en-US" w:eastAsia="en-US" w:bidi="ar-SA"/>
              </w:rPr>
              <w:fldChar w:fldCharType="end"/>
            </w:r>
            <w:r>
              <w:rPr>
                <w:sz w:val="20"/>
                <w:kern w:val="2"/>
                <w:szCs w:val="20"/>
                <w:rFonts w:eastAsia="Calibri" w:cs="Times New Roman"/>
                <w:lang w:val="en-US" w:eastAsia="en-US" w:bidi="ar-SA"/>
              </w:rPr>
              <w:fldChar w:fldCharType="separate"/>
            </w:r>
            <w:r>
              <w:rPr>
                <w:rFonts w:eastAsia="Calibri" w:cs="Times New Roman"/>
                <w:kern w:val="2"/>
                <w:sz w:val="20"/>
                <w:szCs w:val="20"/>
                <w:lang w:val="en-US" w:eastAsia="en-US" w:bidi="ar-SA"/>
              </w:rPr>
            </w:r>
            <w:r>
              <w:rPr>
                <w:rFonts w:eastAsia="Calibri" w:cs="Times New Roman"/>
                <w:kern w:val="2"/>
                <w:sz w:val="20"/>
                <w:szCs w:val="20"/>
                <w:vertAlign w:val="superscript"/>
                <w:lang w:val="en-US" w:eastAsia="en-US" w:bidi="ar-SA"/>
              </w:rPr>
              <w:t>12</w:t>
            </w:r>
            <w:r/>
            <w:r>
              <w:rPr>
                <w:sz w:val="20"/>
                <w:kern w:val="2"/>
                <w:szCs w:val="20"/>
                <w:rFonts w:eastAsia="Calibri" w:cs="Times New Roman"/>
                <w:lang w:val="en-US" w:eastAsia="en-US" w:bidi="ar-SA"/>
              </w:rPr>
              <w:fldChar w:fldCharType="end"/>
            </w:r>
            <w:r>
              <w:rPr>
                <w:rFonts w:eastAsia="Calibri" w:cs="Times New Roman"/>
                <w:kern w:val="2"/>
                <w:sz w:val="20"/>
                <w:szCs w:val="20"/>
                <w:lang w:val="en-US" w:eastAsia="en-US" w:bidi="ar-SA"/>
              </w:rPr>
            </w:r>
          </w:p>
        </w:tc>
        <w:tc>
          <w:tcPr>
            <w:tcW w:w="5562" w:type="dxa"/>
            <w:tcBorders/>
          </w:tcPr>
          <w:p>
            <w:pPr>
              <w:pStyle w:val="Normal"/>
              <w:widowControl/>
              <w:bidi w:val="0"/>
              <w:spacing w:lineRule="auto" w:line="360" w:before="0" w:after="0"/>
              <w:jc w:val="start"/>
              <w:rPr>
                <w:i/>
                <w:i/>
                <w:iCs/>
                <w:lang w:val="en-US"/>
              </w:rPr>
            </w:pPr>
            <w:r>
              <w:rPr>
                <w:rFonts w:eastAsia="Calibri" w:cs="Times New Roman"/>
                <w:i/>
                <w:iCs/>
                <w:kern w:val="2"/>
                <w:sz w:val="20"/>
                <w:szCs w:val="20"/>
                <w:lang w:val="en-US" w:eastAsia="en-US" w:bidi="ar-SA"/>
              </w:rPr>
              <w:t>6-Thioguanine levels have been associated with thiopurine efficacy, while 6-MMP levels are associated with drug-related toxicity.</w:t>
            </w:r>
          </w:p>
        </w:tc>
        <w:tc>
          <w:tcPr>
            <w:tcW w:w="4678" w:type="dxa"/>
            <w:tcBorders/>
          </w:tcPr>
          <w:p>
            <w:pPr>
              <w:pStyle w:val="Normal"/>
              <w:widowControl/>
              <w:bidi w:val="0"/>
              <w:spacing w:lineRule="auto" w:line="360" w:before="0" w:after="0"/>
              <w:jc w:val="start"/>
              <w:rPr>
                <w:i/>
                <w:i/>
                <w:iCs/>
                <w:lang w:val="en-US"/>
              </w:rPr>
            </w:pPr>
            <w:r>
              <w:rPr>
                <w:rFonts w:eastAsia="Calibri" w:cs="Times New Roman"/>
                <w:i/>
                <w:iCs/>
                <w:kern w:val="2"/>
                <w:sz w:val="20"/>
                <w:szCs w:val="20"/>
                <w:lang w:val="en-US" w:eastAsia="en-US" w:bidi="ar-SA"/>
              </w:rPr>
              <w:t>Testing for TPMT activity has therefore been suggested to predict thiopurine toxicity, including bone marrow suppression, although with conflicting findings. The cost-effectiveness of TPMT testing needs to be re-evaluated</w:t>
            </w:r>
          </w:p>
        </w:tc>
        <w:tc>
          <w:tcPr>
            <w:tcW w:w="2804" w:type="dxa"/>
            <w:tcBorders/>
          </w:tcPr>
          <w:p>
            <w:pPr>
              <w:pStyle w:val="Normal"/>
              <w:widowControl/>
              <w:bidi w:val="0"/>
              <w:spacing w:lineRule="auto" w:line="360" w:before="0" w:after="0"/>
              <w:jc w:val="start"/>
              <w:rPr>
                <w:i/>
                <w:i/>
                <w:iCs/>
                <w:lang w:val="en-US"/>
              </w:rPr>
            </w:pPr>
            <w:r>
              <w:rPr>
                <w:rFonts w:eastAsia="Calibri" w:cs="Times New Roman"/>
                <w:i/>
                <w:iCs/>
                <w:kern w:val="2"/>
                <w:sz w:val="20"/>
                <w:szCs w:val="20"/>
                <w:lang w:val="en-US" w:eastAsia="en-US" w:bidi="ar-SA"/>
              </w:rPr>
              <w:t>Not mentioned.</w:t>
            </w:r>
          </w:p>
        </w:tc>
      </w:tr>
      <w:tr>
        <w:trPr>
          <w:trHeight w:val="350" w:hRule="atLeast"/>
        </w:trPr>
        <w:tc>
          <w:tcPr>
            <w:tcW w:w="1804" w:type="dxa"/>
            <w:tcBorders/>
          </w:tcPr>
          <w:p>
            <w:pPr>
              <w:pStyle w:val="Normal"/>
              <w:widowControl/>
              <w:bidi w:val="0"/>
              <w:spacing w:lineRule="auto" w:line="360" w:before="0" w:after="0"/>
              <w:jc w:val="start"/>
              <w:rPr>
                <w:lang w:val="en-US"/>
              </w:rPr>
            </w:pPr>
            <w:r>
              <w:rPr>
                <w:rFonts w:eastAsia="Calibri" w:cs="Times New Roman"/>
                <w:kern w:val="2"/>
                <w:sz w:val="20"/>
                <w:szCs w:val="20"/>
                <w:lang w:val="en-US" w:eastAsia="en-US" w:bidi="ar-SA"/>
              </w:rPr>
              <w:t>Relling et al.</w:t>
            </w:r>
            <w:r>
              <w:fldChar w:fldCharType="begin"/>
            </w:r>
            <w:r>
              <w:rPr>
                <w:sz w:val="20"/>
                <w:kern w:val="2"/>
                <w:szCs w:val="20"/>
                <w:rFonts w:eastAsia="Calibri" w:cs="Times New Roman"/>
                <w:lang w:val="en-US" w:eastAsia="en-US" w:bidi="ar-SA"/>
              </w:rPr>
              <w:instrText xml:space="preserve">ADDIN EN.CITE</w:instrText>
            </w:r>
            <w:r>
              <w:rPr>
                <w:rFonts w:eastAsia="Calibri" w:cs="Times New Roman"/>
                <w:kern w:val="2"/>
                <w:sz w:val="20"/>
                <w:szCs w:val="20"/>
                <w:lang w:val="en-US" w:eastAsia="en-US" w:bidi="ar-SA"/>
              </w:rPr>
            </w:r>
            <w:r>
              <w:fldChar w:fldCharType="begin"/>
            </w:r>
            <w:r>
              <w:rPr>
                <w:sz w:val="20"/>
                <w:kern w:val="2"/>
                <w:szCs w:val="20"/>
                <w:rFonts w:eastAsia="Calibri" w:cs="Times New Roman"/>
                <w:lang w:val="en-US" w:eastAsia="en-US" w:bidi="ar-SA"/>
              </w:rPr>
              <w:instrText xml:space="preserve">ADDIN EN.CITE.DATA</w:instrText>
            </w:r>
            <w:r>
              <w:rPr>
                <w:rFonts w:eastAsia="Calibri" w:cs="Times New Roman"/>
                <w:kern w:val="2"/>
                <w:sz w:val="20"/>
                <w:szCs w:val="20"/>
                <w:lang w:val="en-US" w:eastAsia="en-US" w:bidi="ar-SA"/>
              </w:rPr>
            </w:r>
            <w:r>
              <w:rPr>
                <w:sz w:val="20"/>
                <w:kern w:val="2"/>
                <w:szCs w:val="20"/>
                <w:rFonts w:eastAsia="Calibri" w:cs="Times New Roman"/>
                <w:lang w:val="en-US" w:eastAsia="en-US" w:bidi="ar-SA"/>
              </w:rPr>
              <w:fldChar w:fldCharType="separate"/>
            </w:r>
            <w:r>
              <w:rPr>
                <w:rFonts w:eastAsia="Calibri" w:cs="Times New Roman"/>
                <w:kern w:val="2"/>
                <w:sz w:val="20"/>
                <w:szCs w:val="20"/>
                <w:lang w:val="en-US" w:eastAsia="en-US" w:bidi="ar-SA"/>
              </w:rPr>
            </w:r>
            <w:r>
              <w:rPr>
                <w:rFonts w:eastAsia="Calibri" w:cs="Times New Roman"/>
                <w:kern w:val="2"/>
                <w:sz w:val="20"/>
                <w:szCs w:val="20"/>
                <w:lang w:val="en-US" w:eastAsia="en-US" w:bidi="ar-SA"/>
              </w:rPr>
            </w:r>
            <w:r>
              <w:rPr>
                <w:sz w:val="20"/>
                <w:kern w:val="2"/>
                <w:szCs w:val="20"/>
                <w:rFonts w:eastAsia="Calibri" w:cs="Times New Roman"/>
                <w:lang w:val="en-US" w:eastAsia="en-US" w:bidi="ar-SA"/>
              </w:rPr>
              <w:fldChar w:fldCharType="end"/>
            </w:r>
            <w:r>
              <w:rPr>
                <w:sz w:val="20"/>
                <w:kern w:val="2"/>
                <w:szCs w:val="20"/>
                <w:rFonts w:eastAsia="Calibri" w:cs="Times New Roman"/>
                <w:lang w:val="en-US" w:eastAsia="en-US" w:bidi="ar-SA"/>
              </w:rPr>
              <w:fldChar w:fldCharType="separate"/>
            </w:r>
            <w:r>
              <w:rPr>
                <w:rFonts w:eastAsia="Calibri" w:cs="Times New Roman"/>
                <w:kern w:val="2"/>
                <w:sz w:val="20"/>
                <w:szCs w:val="20"/>
                <w:lang w:val="en-US" w:eastAsia="en-US" w:bidi="ar-SA"/>
              </w:rPr>
            </w:r>
            <w:r>
              <w:rPr>
                <w:rFonts w:eastAsia="Calibri" w:cs="Times New Roman"/>
                <w:kern w:val="2"/>
                <w:sz w:val="20"/>
                <w:szCs w:val="20"/>
                <w:vertAlign w:val="superscript"/>
                <w:lang w:val="en-US" w:eastAsia="en-US" w:bidi="ar-SA"/>
              </w:rPr>
              <w:t>19</w:t>
            </w:r>
            <w:r>
              <w:rPr>
                <w:rFonts w:eastAsia="Calibri" w:cs="Times New Roman"/>
                <w:kern w:val="2"/>
                <w:sz w:val="20"/>
                <w:szCs w:val="20"/>
                <w:lang w:val="en-US" w:eastAsia="en-US" w:bidi="ar-SA"/>
              </w:rPr>
            </w:r>
            <w:r>
              <w:rPr>
                <w:sz w:val="20"/>
                <w:kern w:val="2"/>
                <w:szCs w:val="20"/>
                <w:rFonts w:eastAsia="Calibri" w:cs="Times New Roman"/>
                <w:lang w:val="en-US" w:eastAsia="en-US" w:bidi="ar-SA"/>
              </w:rPr>
              <w:fldChar w:fldCharType="end"/>
            </w:r>
            <w:r>
              <w:rPr>
                <w:rFonts w:eastAsia="Calibri" w:cs="Times New Roman"/>
                <w:kern w:val="2"/>
                <w:sz w:val="20"/>
                <w:szCs w:val="20"/>
                <w:lang w:val="en-US" w:eastAsia="en-US" w:bidi="ar-SA"/>
              </w:rPr>
              <w:t xml:space="preserve"> </w:t>
            </w:r>
          </w:p>
        </w:tc>
        <w:tc>
          <w:tcPr>
            <w:tcW w:w="5562" w:type="dxa"/>
            <w:tcBorders/>
          </w:tcPr>
          <w:p>
            <w:pPr>
              <w:pStyle w:val="Normal"/>
              <w:widowControl/>
              <w:bidi w:val="0"/>
              <w:spacing w:lineRule="auto" w:line="360" w:before="0" w:after="0"/>
              <w:jc w:val="start"/>
              <w:rPr>
                <w:lang w:val="en-US"/>
              </w:rPr>
            </w:pPr>
            <w:r>
              <w:rPr>
                <w:rFonts w:eastAsia="Calibri" w:cs="Times New Roman"/>
                <w:kern w:val="2"/>
                <w:sz w:val="20"/>
                <w:szCs w:val="20"/>
                <w:lang w:val="en-US" w:eastAsia="en-US" w:bidi="ar-SA"/>
              </w:rPr>
              <w:t>Erythrocyte TGNs or MeMPNs are not related to NUDT15 genotypes, but there is evidence that intermediate and poor metabolizers for NUDT15 accumulate higher levels of DNA-TG than normal metabolizers.</w:t>
            </w:r>
          </w:p>
        </w:tc>
        <w:tc>
          <w:tcPr>
            <w:tcW w:w="4678" w:type="dxa"/>
            <w:tcBorders/>
          </w:tcPr>
          <w:p>
            <w:pPr>
              <w:pStyle w:val="Normal"/>
              <w:widowControl/>
              <w:bidi w:val="0"/>
              <w:spacing w:lineRule="auto" w:line="360" w:before="0" w:after="0"/>
              <w:jc w:val="start"/>
              <w:rPr>
                <w:i/>
                <w:i/>
                <w:iCs/>
                <w:lang w:val="en-US"/>
              </w:rPr>
            </w:pPr>
            <w:r>
              <w:rPr>
                <w:rFonts w:eastAsia="Calibri" w:cs="Times New Roman"/>
                <w:kern w:val="2"/>
                <w:sz w:val="20"/>
                <w:szCs w:val="20"/>
                <w:lang w:val="en-US" w:eastAsia="en-US" w:bidi="ar-SA"/>
              </w:rPr>
              <w:t>Dose adjustments based on disease-specific guidelines.</w:t>
            </w:r>
          </w:p>
        </w:tc>
        <w:tc>
          <w:tcPr>
            <w:tcW w:w="2804" w:type="dxa"/>
            <w:tcBorders/>
          </w:tcPr>
          <w:p>
            <w:pPr>
              <w:pStyle w:val="Normal"/>
              <w:widowControl/>
              <w:bidi w:val="0"/>
              <w:spacing w:lineRule="auto" w:line="360" w:before="0" w:after="0"/>
              <w:jc w:val="start"/>
              <w:rPr>
                <w:i/>
                <w:i/>
                <w:iCs/>
                <w:lang w:val="en-US"/>
              </w:rPr>
            </w:pPr>
            <w:r>
              <w:rPr>
                <w:rFonts w:eastAsia="Calibri" w:cs="Times New Roman"/>
                <w:kern w:val="2"/>
                <w:sz w:val="20"/>
                <w:szCs w:val="20"/>
                <w:lang w:val="en-US" w:eastAsia="en-US" w:bidi="ar-SA"/>
              </w:rPr>
              <w:t>Dose adjustments based on disease-specific guidelines.</w:t>
            </w:r>
          </w:p>
        </w:tc>
      </w:tr>
      <w:tr>
        <w:trPr>
          <w:trHeight w:val="350" w:hRule="atLeast"/>
        </w:trPr>
        <w:tc>
          <w:tcPr>
            <w:tcW w:w="1804" w:type="dxa"/>
            <w:tcBorders/>
          </w:tcPr>
          <w:p>
            <w:pPr>
              <w:pStyle w:val="Normal"/>
              <w:widowControl/>
              <w:bidi w:val="0"/>
              <w:spacing w:lineRule="auto" w:line="360" w:before="0" w:after="0"/>
              <w:jc w:val="start"/>
              <w:rPr>
                <w:lang w:val="en-US"/>
              </w:rPr>
            </w:pPr>
            <w:r>
              <w:rPr>
                <w:rFonts w:eastAsia="Calibri" w:cs="Times New Roman"/>
                <w:kern w:val="2"/>
                <w:sz w:val="20"/>
                <w:szCs w:val="20"/>
                <w:lang w:val="en-US" w:eastAsia="en-US" w:bidi="ar-SA"/>
              </w:rPr>
              <w:t>Van Bodegraven et al.</w:t>
            </w:r>
            <w:r>
              <w:fldChar w:fldCharType="begin"/>
            </w:r>
            <w:r>
              <w:rPr>
                <w:sz w:val="20"/>
                <w:kern w:val="2"/>
                <w:szCs w:val="20"/>
                <w:rFonts w:eastAsia="Calibri" w:cs="Times New Roman"/>
                <w:lang w:val="en-US" w:eastAsia="en-US" w:bidi="ar-SA"/>
              </w:rPr>
              <w:instrText xml:space="preserve">ADDIN EN.CITE &lt;EndNote&gt;&lt;Cite&gt;&lt;Author&gt;van Bodegraven&lt;/Author&gt;&lt;Year&gt;2015&lt;/Year&gt;&lt;RecNum&gt;489&lt;/RecNum&gt;&lt;DisplayText&gt;&lt;style face="superscript"&gt;14&lt;/style&gt;&lt;/DisplayText&gt;&lt;record&gt;&lt;rec-number&gt;489&lt;/rec-number&gt;&lt;foreign-keys&gt;&lt;key app="EN" db-id="rs5a55vvspxz5uespwzvws0ppwexpv9rr5re" timestamp="1741611214"&gt;489&lt;/key&gt;&lt;/foreign-keys&gt;&lt;ref-type name="Generic"&gt;13&lt;/ref-type&gt;&lt;contributors&gt;&lt;authors&gt;&lt;author&gt;van Bodegraven, A.A.&lt;/author&gt;&lt;author&gt;de Boer, K.H.N.&lt;/author&gt;&lt;author&gt;van Asseldonk, D.P.&lt;/author&gt;&lt;author&gt;Bruin, K.F.&lt;/author&gt;&lt;author&gt;Derijks, L.&lt;/author&gt;&lt;author&gt;Dewint, P.&lt;/author&gt;&lt;author&gt;Dijkstra, G.&lt;/author&gt;&lt;author&gt;Fidder, H.H.&lt;/author&gt;&lt;author&gt;de Jong, D.J.&lt;/author&gt;&lt;author&gt;Löwenberg, M.&lt;/author&gt;&lt;author&gt;Mahmmod, N.&lt;/author&gt;&lt;author&gt;van der Meulen, A.E.&lt;/author&gt;&lt;author&gt;Oldenburg, B.&lt;/author&gt;&lt;author&gt;Oude Lashof, A.M.&lt;/author&gt;&lt;author&gt;Pierik, M.J.&lt;/author&gt;&lt;author&gt;Stuyt, R.&lt;/author&gt;&lt;author&gt;Visser, L.G.&lt;/author&gt;&lt;author&gt;West, R.L.&lt;/author&gt;&lt;author&gt;van der Woude, J.C.&lt;/author&gt;&lt;/authors&gt;&lt;/contributors&gt;&lt;titles&gt;&lt;title&gt;Adult Inflammatory Bowel Disease Guideline. Dutch Society of Gastroenterology and Hepatology. Therapeutic Drug Monitoring and Pharmacogenetics. https://richtlijnendatabase.nl/richtlijn/inflammatoire_darmziekten_volwassenen/therapeutic_drug_monitoring_en_farmacogenetica.html&lt;/title&gt;&lt;/titles&gt;&lt;dates&gt;&lt;year&gt;2015&lt;/year&gt;&lt;/dates&gt;&lt;urls&gt;&lt;/urls&gt;&lt;/record&gt;&lt;/Cite&gt;&lt;/EndNote&gt;</w:instrText>
            </w:r>
            <w:r>
              <w:rPr>
                <w:rFonts w:eastAsia="Calibri" w:cs="Times New Roman"/>
                <w:kern w:val="2"/>
                <w:sz w:val="20"/>
                <w:szCs w:val="20"/>
                <w:lang w:val="en-US" w:eastAsia="en-US" w:bidi="ar-SA"/>
              </w:rPr>
            </w:r>
            <w:r>
              <w:rPr>
                <w:sz w:val="20"/>
                <w:kern w:val="2"/>
                <w:szCs w:val="20"/>
                <w:rFonts w:eastAsia="Calibri" w:cs="Times New Roman"/>
                <w:lang w:val="en-US" w:eastAsia="en-US" w:bidi="ar-SA"/>
              </w:rPr>
              <w:fldChar w:fldCharType="separate"/>
            </w:r>
            <w:r>
              <w:rPr>
                <w:rFonts w:eastAsia="Calibri" w:cs="Times New Roman"/>
                <w:kern w:val="2"/>
                <w:sz w:val="20"/>
                <w:szCs w:val="20"/>
                <w:lang w:val="en-US" w:eastAsia="en-US" w:bidi="ar-SA"/>
              </w:rPr>
            </w:r>
            <w:r>
              <w:rPr>
                <w:rFonts w:eastAsia="Calibri" w:cs="Times New Roman"/>
                <w:kern w:val="2"/>
                <w:sz w:val="20"/>
                <w:szCs w:val="20"/>
                <w:vertAlign w:val="superscript"/>
                <w:lang w:val="en-US" w:eastAsia="en-US" w:bidi="ar-SA"/>
              </w:rPr>
              <w:t>14</w:t>
            </w:r>
            <w:r/>
            <w:r>
              <w:rPr>
                <w:sz w:val="20"/>
                <w:kern w:val="2"/>
                <w:szCs w:val="20"/>
                <w:rFonts w:eastAsia="Calibri" w:cs="Times New Roman"/>
                <w:lang w:val="en-US" w:eastAsia="en-US" w:bidi="ar-SA"/>
              </w:rPr>
              <w:fldChar w:fldCharType="end"/>
            </w:r>
            <w:r>
              <w:rPr>
                <w:rFonts w:eastAsia="Calibri" w:cs="Times New Roman"/>
                <w:kern w:val="2"/>
                <w:sz w:val="20"/>
                <w:szCs w:val="20"/>
                <w:lang w:val="en-US" w:eastAsia="en-US" w:bidi="ar-SA"/>
              </w:rPr>
            </w:r>
          </w:p>
        </w:tc>
        <w:tc>
          <w:tcPr>
            <w:tcW w:w="5562" w:type="dxa"/>
            <w:tcBorders/>
          </w:tcPr>
          <w:p>
            <w:pPr>
              <w:pStyle w:val="Normal"/>
              <w:widowControl/>
              <w:bidi w:val="0"/>
              <w:spacing w:lineRule="auto" w:line="360" w:before="0" w:after="0"/>
              <w:jc w:val="start"/>
              <w:rPr>
                <w:lang w:val="en-US"/>
              </w:rPr>
            </w:pPr>
            <w:r>
              <w:rPr>
                <w:rFonts w:eastAsia="Calibri" w:cs="Times New Roman"/>
                <w:kern w:val="2"/>
                <w:sz w:val="20"/>
                <w:szCs w:val="20"/>
                <w:u w:val="single"/>
                <w:lang w:val="en-US" w:eastAsia="en-US" w:bidi="ar-SA"/>
              </w:rPr>
              <w:t>Favors:</w:t>
            </w:r>
            <w:r>
              <w:rPr>
                <w:rFonts w:eastAsia="Calibri" w:cs="Times New Roman"/>
                <w:kern w:val="2"/>
                <w:sz w:val="20"/>
                <w:szCs w:val="20"/>
                <w:lang w:val="en-US" w:eastAsia="en-US" w:bidi="ar-SA"/>
              </w:rPr>
              <w:t xml:space="preserve"> reactive monitoring (in case of incompliance, efficacy, or toxicity).</w:t>
            </w:r>
          </w:p>
          <w:p>
            <w:pPr>
              <w:pStyle w:val="Normal"/>
              <w:widowControl/>
              <w:bidi w:val="0"/>
              <w:spacing w:lineRule="auto" w:line="360" w:before="0" w:after="0"/>
              <w:jc w:val="start"/>
              <w:rPr>
                <w:i/>
                <w:i/>
                <w:iCs/>
                <w:lang w:val="en-US"/>
              </w:rPr>
            </w:pPr>
            <w:r>
              <w:rPr>
                <w:rFonts w:eastAsia="Calibri" w:cs="Times New Roman"/>
                <w:i/>
                <w:iCs/>
                <w:kern w:val="2"/>
                <w:sz w:val="20"/>
                <w:szCs w:val="20"/>
                <w:lang w:val="en-US" w:eastAsia="en-US" w:bidi="ar-SA"/>
              </w:rPr>
              <w:t>Routine use of thiopurine metabolites is not recommended.</w:t>
            </w:r>
          </w:p>
          <w:p>
            <w:pPr>
              <w:pStyle w:val="Normal"/>
              <w:widowControl/>
              <w:bidi w:val="0"/>
              <w:spacing w:lineRule="auto" w:line="360" w:before="0" w:after="0"/>
              <w:jc w:val="start"/>
              <w:rPr>
                <w:lang w:val="en-US"/>
              </w:rPr>
            </w:pPr>
            <w:r>
              <w:rPr>
                <w:rFonts w:eastAsia="Calibri" w:cs="Times New Roman"/>
                <w:kern w:val="2"/>
                <w:sz w:val="20"/>
                <w:szCs w:val="20"/>
                <w:lang w:val="en-US" w:eastAsia="en-US" w:bidi="ar-SA"/>
              </w:rPr>
              <w:t>In thiopurine-failing patients who have aberrant thiopurine metabolism, the addition of allopurinol (100 mg) combined with dose-reduced thiopurine (25-33% of the original dose) is a successful treatment.</w:t>
            </w:r>
          </w:p>
          <w:p>
            <w:pPr>
              <w:pStyle w:val="Normal"/>
              <w:widowControl/>
              <w:bidi w:val="0"/>
              <w:spacing w:lineRule="auto" w:line="360" w:before="0" w:after="0"/>
              <w:jc w:val="start"/>
              <w:rPr>
                <w:u w:val="single"/>
                <w:lang w:val="en-US"/>
              </w:rPr>
            </w:pPr>
            <w:r>
              <w:rPr>
                <w:rFonts w:eastAsia="Calibri" w:cs="Times New Roman"/>
                <w:kern w:val="2"/>
                <w:sz w:val="20"/>
                <w:szCs w:val="20"/>
                <w:u w:val="single"/>
                <w:lang w:val="en-US" w:eastAsia="en-US" w:bidi="ar-SA"/>
              </w:rPr>
            </w:r>
          </w:p>
          <w:p>
            <w:pPr>
              <w:pStyle w:val="Normal"/>
              <w:widowControl/>
              <w:bidi w:val="0"/>
              <w:spacing w:lineRule="auto" w:line="360" w:before="0" w:after="0"/>
              <w:jc w:val="start"/>
              <w:rPr>
                <w:b/>
                <w:bCs/>
                <w:lang w:val="en-US"/>
              </w:rPr>
            </w:pPr>
            <w:r>
              <w:rPr>
                <w:rFonts w:eastAsia="Calibri" w:cs="Times New Roman"/>
                <w:b/>
                <w:bCs/>
                <w:kern w:val="2"/>
                <w:sz w:val="20"/>
                <w:szCs w:val="20"/>
                <w:lang w:val="en-US" w:eastAsia="en-US" w:bidi="ar-SA"/>
              </w:rPr>
              <w:t>AZA/MP</w:t>
            </w:r>
          </w:p>
          <w:p>
            <w:pPr>
              <w:pStyle w:val="Normal"/>
              <w:widowControl/>
              <w:bidi w:val="0"/>
              <w:spacing w:lineRule="auto" w:line="360" w:before="0" w:after="0"/>
              <w:jc w:val="start"/>
              <w:rPr>
                <w:lang w:val="en-US"/>
              </w:rPr>
            </w:pPr>
            <w:r>
              <w:rPr>
                <w:rFonts w:eastAsia="Calibri" w:cs="Times New Roman"/>
                <w:kern w:val="2"/>
                <w:sz w:val="20"/>
                <w:szCs w:val="20"/>
                <w:lang w:val="en-US" w:eastAsia="en-US" w:bidi="ar-SA"/>
              </w:rPr>
              <w:t>Underdosing/non-compliance 6-TGN &lt; 250, 6-MMPR &lt;5700</w:t>
            </w:r>
          </w:p>
          <w:p>
            <w:pPr>
              <w:pStyle w:val="Normal"/>
              <w:widowControl/>
              <w:bidi w:val="0"/>
              <w:spacing w:lineRule="auto" w:line="360" w:before="0" w:after="0"/>
              <w:jc w:val="start"/>
              <w:rPr>
                <w:lang w:val="en-US"/>
              </w:rPr>
            </w:pPr>
            <w:r>
              <w:rPr>
                <w:rFonts w:eastAsia="Calibri" w:cs="Times New Roman"/>
                <w:kern w:val="2"/>
                <w:sz w:val="20"/>
                <w:szCs w:val="20"/>
                <w:lang w:val="en-US" w:eastAsia="en-US" w:bidi="ar-SA"/>
              </w:rPr>
              <w:t>Therapeutic level: 6-TGN 250-500, 6-MMPR &lt; 5700</w:t>
            </w:r>
          </w:p>
          <w:p>
            <w:pPr>
              <w:pStyle w:val="Normal"/>
              <w:widowControl/>
              <w:bidi w:val="0"/>
              <w:spacing w:lineRule="auto" w:line="360" w:before="0" w:after="0"/>
              <w:jc w:val="start"/>
              <w:rPr>
                <w:lang w:val="en-US"/>
              </w:rPr>
            </w:pPr>
            <w:r>
              <w:rPr>
                <w:rFonts w:eastAsia="Calibri" w:cs="Times New Roman"/>
                <w:kern w:val="2"/>
                <w:sz w:val="20"/>
                <w:szCs w:val="20"/>
                <w:lang w:val="en-US" w:eastAsia="en-US" w:bidi="ar-SA"/>
              </w:rPr>
              <w:t>Potential myelotoxicity (absent TPMT activity) 6-TGN &gt;&gt; 500, 6-MMPR &lt;&lt; 5700</w:t>
            </w:r>
          </w:p>
          <w:p>
            <w:pPr>
              <w:pStyle w:val="Normal"/>
              <w:widowControl/>
              <w:bidi w:val="0"/>
              <w:spacing w:lineRule="auto" w:line="360" w:before="0" w:after="0"/>
              <w:jc w:val="start"/>
              <w:rPr>
                <w:lang w:val="en-US"/>
              </w:rPr>
            </w:pPr>
            <w:r>
              <w:rPr>
                <w:rFonts w:eastAsia="Calibri" w:cs="Times New Roman"/>
                <w:kern w:val="2"/>
                <w:sz w:val="20"/>
                <w:szCs w:val="20"/>
                <w:lang w:val="en-US" w:eastAsia="en-US" w:bidi="ar-SA"/>
              </w:rPr>
              <w:t>Possible myelotoxicity (low TPMT activity) 6-TGN &gt; 500, 6-MMPR &lt; 5700</w:t>
            </w:r>
          </w:p>
          <w:p>
            <w:pPr>
              <w:pStyle w:val="Normal"/>
              <w:widowControl/>
              <w:bidi w:val="0"/>
              <w:spacing w:lineRule="auto" w:line="360" w:before="0" w:after="0"/>
              <w:jc w:val="start"/>
              <w:rPr>
                <w:lang w:val="en-US"/>
              </w:rPr>
            </w:pPr>
            <w:r>
              <w:rPr>
                <w:rFonts w:eastAsia="Calibri" w:cs="Times New Roman"/>
                <w:kern w:val="2"/>
                <w:sz w:val="20"/>
                <w:szCs w:val="20"/>
                <w:lang w:val="en-US" w:eastAsia="en-US" w:bidi="ar-SA"/>
              </w:rPr>
              <w:t>Possible hepatotoxicity (high TPMT activity) 6-TGN &lt;250-500, 6-MMPR &gt; 5700</w:t>
            </w:r>
          </w:p>
          <w:p>
            <w:pPr>
              <w:pStyle w:val="Normal"/>
              <w:widowControl/>
              <w:bidi w:val="0"/>
              <w:spacing w:lineRule="auto" w:line="360" w:before="0" w:after="0"/>
              <w:jc w:val="start"/>
              <w:rPr>
                <w:lang w:val="en-US"/>
              </w:rPr>
            </w:pPr>
            <w:r>
              <w:rPr>
                <w:rFonts w:eastAsia="Calibri" w:cs="Times New Roman"/>
                <w:kern w:val="2"/>
                <w:sz w:val="20"/>
                <w:szCs w:val="20"/>
                <w:lang w:val="en-US" w:eastAsia="en-US" w:bidi="ar-SA"/>
              </w:rPr>
              <w:t>Potential myelotoxicity (very high TPMT activity): 6-TGN &lt;&lt; 250, 6-MMPR &gt;&gt; 5700.</w:t>
            </w:r>
          </w:p>
          <w:p>
            <w:pPr>
              <w:pStyle w:val="Normal"/>
              <w:widowControl/>
              <w:bidi w:val="0"/>
              <w:spacing w:lineRule="auto" w:line="360" w:before="0" w:after="0"/>
              <w:jc w:val="start"/>
              <w:rPr>
                <w:lang w:val="en-US"/>
              </w:rPr>
            </w:pPr>
            <w:r>
              <w:rPr>
                <w:rFonts w:eastAsia="Calibri" w:cs="Times New Roman"/>
                <w:kern w:val="2"/>
                <w:sz w:val="20"/>
                <w:szCs w:val="20"/>
                <w:lang w:val="en-US" w:eastAsia="en-US" w:bidi="ar-SA"/>
              </w:rPr>
              <w:t>6-TGNs according to the Lennard method.</w:t>
            </w:r>
            <w:r>
              <w:fldChar w:fldCharType="begin"/>
            </w:r>
            <w:r>
              <w:rPr>
                <w:sz w:val="20"/>
                <w:kern w:val="2"/>
                <w:szCs w:val="20"/>
                <w:rFonts w:eastAsia="Calibri" w:cs="Times New Roman"/>
                <w:lang w:val="en-US" w:eastAsia="en-US" w:bidi="ar-SA"/>
              </w:rPr>
              <w:instrText xml:space="preserve">ADDIN EN.CITE &lt;EndNote&gt;&lt;Cite&gt;&lt;Author&gt;Lennard&lt;/Author&gt;&lt;Year&gt;1992&lt;/Year&gt;&lt;RecNum&gt;411&lt;/RecNum&gt;&lt;DisplayText&gt;&lt;style face="superscript"&gt;21&lt;/style&gt;&lt;/DisplayText&gt;&lt;record&gt;&lt;rec-number&gt;411&lt;/rec-number&gt;&lt;foreign-keys&gt;&lt;key app="EN" db-id="rs5a55vvspxz5uespwzvws0ppwexpv9rr5re" timestamp="1738595389"&gt;411&lt;/key&gt;&lt;/foreign-keys&gt;&lt;ref-type name="Journal Article"&gt;17&lt;/ref-type&gt;&lt;contributors&gt;&lt;authors&gt;&lt;author&gt;Lennard, L.&lt;/author&gt;&lt;author&gt;Singleton, H. J.&lt;/author&gt;&lt;/authors&gt;&lt;/contributors&gt;&lt;auth-address&gt;Department of Medicine and Pharmacology, Floor L, Royal Hallamshire Hospital, Sheffield, UK.&lt;/auth-address&gt;&lt;titles&gt;&lt;title&gt;High-performance liquid chromatographic assay of the methyl and nucleotide metabolites of 6-mercaptopurine: quantitation of red blood cell 6-thioguanine nucleotide, 6-thioinosinic acid and 6-methylmercaptopurine metabolites in a single sample&lt;/title&gt;&lt;secondary-title&gt;J Chromatogr&lt;/secondary-title&gt;&lt;/titles&gt;&lt;periodical&gt;&lt;full-title&gt;J Chromatogr&lt;/full-title&gt;&lt;/periodical&gt;&lt;pages&gt;83-90&lt;/pages&gt;&lt;volume&gt;583&lt;/volume&gt;&lt;number&gt;1&lt;/number&gt;&lt;keywords&gt;&lt;keyword&gt;Chromatography, High Pressure Liquid&lt;/keyword&gt;&lt;keyword&gt;Erythrocytes/*chemistry&lt;/keyword&gt;&lt;keyword&gt;Humans&lt;/keyword&gt;&lt;keyword&gt;Hydrolysis&lt;/keyword&gt;&lt;keyword&gt;Inosine Monophosphate/*analogs &amp;amp; derivatives/blood&lt;/keyword&gt;&lt;keyword&gt;Mercaptopurine/*blood&lt;/keyword&gt;&lt;keyword&gt;Methylthioinosine/*blood&lt;/keyword&gt;&lt;keyword&gt;Thionucleotides/*blood&lt;/keyword&gt;&lt;/keywords&gt;&lt;dates&gt;&lt;year&gt;1992&lt;/year&gt;&lt;pub-dates&gt;&lt;date&gt;Nov 27&lt;/date&gt;&lt;/pub-dates&gt;&lt;/dates&gt;&lt;accession-num&gt;1484095&lt;/accession-num&gt;&lt;urls&gt;&lt;/urls&gt;&lt;electronic-resource-num&gt;10.1016/0378-4347(92)80347-s&lt;/electronic-resource-num&gt;&lt;remote-database-provider&gt;NLM&lt;/remote-database-provider&gt;&lt;language&gt;eng&lt;/language&gt;&lt;/record&gt;&lt;/Cite&gt;&lt;/EndNote&gt;</w:instrText>
            </w:r>
            <w:r>
              <w:rPr>
                <w:rFonts w:eastAsia="Calibri" w:cs="Times New Roman"/>
                <w:kern w:val="2"/>
                <w:sz w:val="20"/>
                <w:szCs w:val="20"/>
                <w:lang w:val="en-US" w:eastAsia="en-US" w:bidi="ar-SA"/>
              </w:rPr>
            </w:r>
            <w:r>
              <w:rPr>
                <w:sz w:val="20"/>
                <w:kern w:val="2"/>
                <w:szCs w:val="20"/>
                <w:rFonts w:eastAsia="Calibri" w:cs="Times New Roman"/>
                <w:lang w:val="en-US" w:eastAsia="en-US" w:bidi="ar-SA"/>
              </w:rPr>
              <w:fldChar w:fldCharType="separate"/>
            </w:r>
            <w:r>
              <w:rPr>
                <w:rFonts w:eastAsia="Calibri" w:cs="Times New Roman"/>
                <w:kern w:val="2"/>
                <w:sz w:val="20"/>
                <w:szCs w:val="20"/>
                <w:lang w:val="en-US" w:eastAsia="en-US" w:bidi="ar-SA"/>
              </w:rPr>
            </w:r>
            <w:r>
              <w:rPr>
                <w:rFonts w:eastAsia="Calibri" w:cs="Times New Roman"/>
                <w:kern w:val="2"/>
                <w:sz w:val="20"/>
                <w:szCs w:val="20"/>
                <w:vertAlign w:val="superscript"/>
                <w:lang w:val="en-US" w:eastAsia="en-US" w:bidi="ar-SA"/>
              </w:rPr>
              <w:t>21</w:t>
            </w:r>
            <w:r/>
            <w:r>
              <w:rPr>
                <w:sz w:val="20"/>
                <w:kern w:val="2"/>
                <w:szCs w:val="20"/>
                <w:rFonts w:eastAsia="Calibri" w:cs="Times New Roman"/>
                <w:lang w:val="en-US" w:eastAsia="en-US" w:bidi="ar-SA"/>
              </w:rPr>
              <w:fldChar w:fldCharType="end"/>
            </w:r>
            <w:r>
              <w:rPr>
                <w:rFonts w:eastAsia="Calibri" w:cs="Times New Roman"/>
                <w:kern w:val="2"/>
                <w:sz w:val="20"/>
                <w:szCs w:val="20"/>
                <w:lang w:val="en-US" w:eastAsia="en-US" w:bidi="ar-SA"/>
              </w:rPr>
            </w:r>
          </w:p>
          <w:p>
            <w:pPr>
              <w:pStyle w:val="Normal"/>
              <w:widowControl/>
              <w:bidi w:val="0"/>
              <w:spacing w:lineRule="auto" w:line="360" w:before="0" w:after="0"/>
              <w:jc w:val="start"/>
              <w:rPr>
                <w:u w:val="single"/>
                <w:lang w:val="en-US"/>
              </w:rPr>
            </w:pPr>
            <w:r>
              <w:rPr>
                <w:rFonts w:eastAsia="Calibri" w:cs="Times New Roman"/>
                <w:i/>
                <w:iCs/>
                <w:kern w:val="2"/>
                <w:sz w:val="20"/>
                <w:szCs w:val="20"/>
                <w:lang w:val="en-US" w:eastAsia="en-US" w:bidi="ar-SA"/>
              </w:rPr>
              <w:t>The guideline mentions that different metabolite levels for TG can be found in a supplement file, but the guideline does not provide this supplement file.</w:t>
            </w:r>
          </w:p>
        </w:tc>
        <w:tc>
          <w:tcPr>
            <w:tcW w:w="4678" w:type="dxa"/>
            <w:tcBorders/>
          </w:tcPr>
          <w:p>
            <w:pPr>
              <w:pStyle w:val="Normal"/>
              <w:widowControl/>
              <w:bidi w:val="0"/>
              <w:spacing w:lineRule="auto" w:line="360" w:before="0" w:after="0"/>
              <w:jc w:val="start"/>
              <w:rPr>
                <w:u w:val="single"/>
                <w:lang w:val="en-US"/>
              </w:rPr>
            </w:pPr>
            <w:r>
              <w:rPr>
                <w:rFonts w:eastAsia="Calibri" w:cs="Times New Roman"/>
                <w:kern w:val="2"/>
                <w:sz w:val="20"/>
                <w:szCs w:val="20"/>
                <w:lang w:val="en-US" w:eastAsia="en-US" w:bidi="ar-SA"/>
              </w:rPr>
              <w:t xml:space="preserve">TPMT testing before therapy, followed by dose adjustments, leads to safer therapy without loss of efficacy. </w:t>
            </w:r>
          </w:p>
        </w:tc>
        <w:tc>
          <w:tcPr>
            <w:tcW w:w="2804" w:type="dxa"/>
            <w:tcBorders/>
          </w:tcPr>
          <w:p>
            <w:pPr>
              <w:pStyle w:val="Normal"/>
              <w:widowControl/>
              <w:bidi w:val="0"/>
              <w:spacing w:lineRule="auto" w:line="360" w:before="0" w:after="0"/>
              <w:jc w:val="start"/>
              <w:rPr>
                <w:i/>
                <w:i/>
                <w:iCs/>
                <w:lang w:val="en-US"/>
              </w:rPr>
            </w:pPr>
            <w:r>
              <w:rPr>
                <w:rFonts w:eastAsia="Calibri" w:cs="Times New Roman"/>
                <w:kern w:val="2"/>
                <w:sz w:val="20"/>
                <w:szCs w:val="20"/>
                <w:lang w:val="en-US" w:eastAsia="en-US" w:bidi="ar-SA"/>
              </w:rPr>
              <w:t>Not mentioned.</w:t>
            </w:r>
          </w:p>
        </w:tc>
      </w:tr>
      <w:tr>
        <w:trPr>
          <w:trHeight w:val="350" w:hRule="atLeast"/>
        </w:trPr>
        <w:tc>
          <w:tcPr>
            <w:tcW w:w="1804" w:type="dxa"/>
            <w:tcBorders/>
          </w:tcPr>
          <w:p>
            <w:pPr>
              <w:pStyle w:val="Normal"/>
              <w:widowControl/>
              <w:bidi w:val="0"/>
              <w:spacing w:lineRule="auto" w:line="360" w:before="0" w:after="0"/>
              <w:jc w:val="start"/>
              <w:rPr>
                <w:lang w:val="en-US"/>
              </w:rPr>
            </w:pPr>
            <w:r>
              <w:rPr>
                <w:rFonts w:eastAsia="Calibri" w:cs="Times New Roman"/>
                <w:kern w:val="2"/>
                <w:sz w:val="20"/>
                <w:szCs w:val="20"/>
                <w:lang w:val="en-US" w:eastAsia="en-US" w:bidi="ar-SA"/>
              </w:rPr>
              <w:t>Derijks et al.</w:t>
            </w:r>
            <w:r>
              <w:fldChar w:fldCharType="begin"/>
            </w:r>
            <w:r>
              <w:rPr>
                <w:sz w:val="20"/>
                <w:kern w:val="2"/>
                <w:szCs w:val="20"/>
                <w:rFonts w:eastAsia="Calibri" w:cs="Times New Roman"/>
                <w:lang w:val="en-US" w:eastAsia="en-US" w:bidi="ar-SA"/>
              </w:rPr>
              <w:instrText xml:space="preserve">ADDIN EN.CITE &lt;EndNote&gt;&lt;Cite&gt;&lt;Author&gt;Derijks&lt;/Author&gt;&lt;Year&gt;2017&lt;/Year&gt;&lt;RecNum&gt;477&lt;/RecNum&gt;&lt;DisplayText&gt;&lt;style face="superscript"&gt;18&lt;/style&gt;&lt;/DisplayText&gt;&lt;record&gt;&lt;rec-number&gt;477&lt;/rec-number&gt;&lt;foreign-keys&gt;&lt;key app="EN" db-id="rs5a55vvspxz5uespwzvws0ppwexpv9rr5re" timestamp="1741166211"&gt;477&lt;/key&gt;&lt;/foreign-keys&gt;&lt;ref-type name="Generic"&gt;13&lt;/ref-type&gt;&lt;contributors&gt;&lt;authors&gt;&lt;author&gt;Derijks, L.J.J.,&lt;/author&gt;&lt;author&gt;Swen, J.J.&lt;/author&gt;&lt;author&gt;van Berlo, I.R.F.&lt;/author&gt;&lt;/authors&gt;&lt;/contributors&gt;&lt;titles&gt;&lt;title&gt;Thiopurine S-methyl transferase - Farmacogenetica Monografie - https://tdm-monografie.org/thiopurine-s-methyl-transferase/&lt;/title&gt;&lt;/titles&gt;&lt;dates&gt;&lt;year&gt;2017&lt;/year&gt;&lt;/dates&gt;&lt;urls&gt;&lt;/urls&gt;&lt;/record&gt;&lt;/Cite&gt;&lt;/EndNote&gt;</w:instrText>
            </w:r>
            <w:r>
              <w:rPr>
                <w:rFonts w:eastAsia="Calibri" w:cs="Times New Roman"/>
                <w:kern w:val="2"/>
                <w:sz w:val="20"/>
                <w:szCs w:val="20"/>
                <w:lang w:val="en-US" w:eastAsia="en-US" w:bidi="ar-SA"/>
              </w:rPr>
            </w:r>
            <w:r>
              <w:rPr>
                <w:sz w:val="20"/>
                <w:kern w:val="2"/>
                <w:szCs w:val="20"/>
                <w:rFonts w:eastAsia="Calibri" w:cs="Times New Roman"/>
                <w:lang w:val="en-US" w:eastAsia="en-US" w:bidi="ar-SA"/>
              </w:rPr>
              <w:fldChar w:fldCharType="separate"/>
            </w:r>
            <w:r>
              <w:rPr>
                <w:rFonts w:eastAsia="Calibri" w:cs="Times New Roman"/>
                <w:kern w:val="2"/>
                <w:sz w:val="20"/>
                <w:szCs w:val="20"/>
                <w:lang w:val="en-US" w:eastAsia="en-US" w:bidi="ar-SA"/>
              </w:rPr>
            </w:r>
            <w:r>
              <w:rPr>
                <w:rFonts w:eastAsia="Calibri" w:cs="Times New Roman"/>
                <w:kern w:val="2"/>
                <w:sz w:val="20"/>
                <w:szCs w:val="20"/>
                <w:vertAlign w:val="superscript"/>
                <w:lang w:val="en-US" w:eastAsia="en-US" w:bidi="ar-SA"/>
              </w:rPr>
              <w:t>18</w:t>
            </w:r>
            <w:r/>
            <w:r>
              <w:rPr>
                <w:sz w:val="20"/>
                <w:kern w:val="2"/>
                <w:szCs w:val="20"/>
                <w:rFonts w:eastAsia="Calibri" w:cs="Times New Roman"/>
                <w:lang w:val="en-US" w:eastAsia="en-US" w:bidi="ar-SA"/>
              </w:rPr>
              <w:fldChar w:fldCharType="end"/>
            </w:r>
            <w:r>
              <w:rPr>
                <w:rFonts w:eastAsia="Calibri" w:cs="Times New Roman"/>
                <w:kern w:val="2"/>
                <w:sz w:val="20"/>
                <w:szCs w:val="20"/>
                <w:lang w:val="en-US" w:eastAsia="en-US" w:bidi="ar-SA"/>
              </w:rPr>
            </w:r>
          </w:p>
        </w:tc>
        <w:tc>
          <w:tcPr>
            <w:tcW w:w="5562" w:type="dxa"/>
            <w:tcBorders/>
          </w:tcPr>
          <w:p>
            <w:pPr>
              <w:pStyle w:val="Normal"/>
              <w:widowControl/>
              <w:bidi w:val="0"/>
              <w:spacing w:lineRule="auto" w:line="360" w:before="0" w:after="0"/>
              <w:jc w:val="start"/>
              <w:rPr>
                <w:u w:val="single"/>
                <w:lang w:val="en-US"/>
              </w:rPr>
            </w:pPr>
            <w:r>
              <w:rPr>
                <w:rFonts w:eastAsia="Calibri" w:cs="Times New Roman"/>
                <w:kern w:val="2"/>
                <w:sz w:val="20"/>
                <w:szCs w:val="20"/>
                <w:u w:val="single"/>
                <w:lang w:val="en-US" w:eastAsia="en-US" w:bidi="ar-SA"/>
              </w:rPr>
              <w:t>Therapeutic 6-TGN levels</w:t>
            </w:r>
          </w:p>
          <w:p>
            <w:pPr>
              <w:pStyle w:val="Normal"/>
              <w:widowControl/>
              <w:bidi w:val="0"/>
              <w:spacing w:lineRule="auto" w:line="360" w:before="0" w:after="0"/>
              <w:jc w:val="start"/>
              <w:rPr>
                <w:lang w:val="en-US"/>
              </w:rPr>
            </w:pPr>
            <w:r>
              <w:rPr>
                <w:rFonts w:eastAsia="Calibri" w:cs="Times New Roman"/>
                <w:kern w:val="2"/>
                <w:sz w:val="20"/>
                <w:szCs w:val="20"/>
                <w:lang w:val="en-US" w:eastAsia="en-US" w:bidi="ar-SA"/>
              </w:rPr>
              <w:t>AZA/MP: 230-450 (Lennard method</w:t>
            </w:r>
            <w:r>
              <w:fldChar w:fldCharType="begin"/>
            </w:r>
            <w:r>
              <w:rPr>
                <w:sz w:val="20"/>
                <w:kern w:val="2"/>
                <w:szCs w:val="20"/>
                <w:rFonts w:eastAsia="Calibri" w:cs="Times New Roman"/>
                <w:lang w:val="en-US" w:eastAsia="en-US" w:bidi="ar-SA"/>
              </w:rPr>
              <w:instrText xml:space="preserve">ADDIN EN.CITE &lt;EndNote&gt;&lt;Cite&gt;&lt;Author&gt;Lennard&lt;/Author&gt;&lt;Year&gt;1992&lt;/Year&gt;&lt;RecNum&gt;411&lt;/RecNum&gt;&lt;DisplayText&gt;&lt;style face="superscript"&gt;21&lt;/style&gt;&lt;/DisplayText&gt;&lt;record&gt;&lt;rec-number&gt;411&lt;/rec-number&gt;&lt;foreign-keys&gt;&lt;key app="EN" db-id="rs5a55vvspxz5uespwzvws0ppwexpv9rr5re" timestamp="1738595389"&gt;411&lt;/key&gt;&lt;/foreign-keys&gt;&lt;ref-type name="Journal Article"&gt;17&lt;/ref-type&gt;&lt;contributors&gt;&lt;authors&gt;&lt;author&gt;Lennard, L.&lt;/author&gt;&lt;author&gt;Singleton, H. J.&lt;/author&gt;&lt;/authors&gt;&lt;/contributors&gt;&lt;auth-address&gt;Department of Medicine and Pharmacology, Floor L, Royal Hallamshire Hospital, Sheffield, UK.&lt;/auth-address&gt;&lt;titles&gt;&lt;title&gt;High-performance liquid chromatographic assay of the methyl and nucleotide metabolites of 6-mercaptopurine: quantitation of red blood cell 6-thioguanine nucleotide, 6-thioinosinic acid and 6-methylmercaptopurine metabolites in a single sample&lt;/title&gt;&lt;secondary-title&gt;J Chromatogr&lt;/secondary-title&gt;&lt;/titles&gt;&lt;periodical&gt;&lt;full-title&gt;J Chromatogr&lt;/full-title&gt;&lt;/periodical&gt;&lt;pages&gt;83-90&lt;/pages&gt;&lt;volume&gt;583&lt;/volume&gt;&lt;number&gt;1&lt;/number&gt;&lt;keywords&gt;&lt;keyword&gt;Chromatography, High Pressure Liquid&lt;/keyword&gt;&lt;keyword&gt;Erythrocytes/*chemistry&lt;/keyword&gt;&lt;keyword&gt;Humans&lt;/keyword&gt;&lt;keyword&gt;Hydrolysis&lt;/keyword&gt;&lt;keyword&gt;Inosine Monophosphate/*analogs &amp;amp; derivatives/blood&lt;/keyword&gt;&lt;keyword&gt;Mercaptopurine/*blood&lt;/keyword&gt;&lt;keyword&gt;Methylthioinosine/*blood&lt;/keyword&gt;&lt;keyword&gt;Thionucleotides/*blood&lt;/keyword&gt;&lt;/keywords&gt;&lt;dates&gt;&lt;year&gt;1992&lt;/year&gt;&lt;pub-dates&gt;&lt;date&gt;Nov 27&lt;/date&gt;&lt;/pub-dates&gt;&lt;/dates&gt;&lt;accession-num&gt;1484095&lt;/accession-num&gt;&lt;urls&gt;&lt;/urls&gt;&lt;electronic-resource-num&gt;10.1016/0378-4347(92)80347-s&lt;/electronic-resource-num&gt;&lt;remote-database-provider&gt;NLM&lt;/remote-database-provider&gt;&lt;language&gt;eng&lt;/language&gt;&lt;/record&gt;&lt;/Cite&gt;&lt;/EndNote&gt;</w:instrText>
            </w:r>
            <w:r>
              <w:rPr>
                <w:rFonts w:eastAsia="Calibri" w:cs="Times New Roman"/>
                <w:kern w:val="2"/>
                <w:sz w:val="20"/>
                <w:szCs w:val="20"/>
                <w:lang w:val="en-US" w:eastAsia="en-US" w:bidi="ar-SA"/>
              </w:rPr>
            </w:r>
            <w:r>
              <w:rPr>
                <w:sz w:val="20"/>
                <w:kern w:val="2"/>
                <w:szCs w:val="20"/>
                <w:rFonts w:eastAsia="Calibri" w:cs="Times New Roman"/>
                <w:lang w:val="en-US" w:eastAsia="en-US" w:bidi="ar-SA"/>
              </w:rPr>
              <w:fldChar w:fldCharType="separate"/>
            </w:r>
            <w:r>
              <w:rPr>
                <w:rFonts w:eastAsia="Calibri" w:cs="Times New Roman"/>
                <w:kern w:val="2"/>
                <w:sz w:val="20"/>
                <w:szCs w:val="20"/>
                <w:lang w:val="en-US" w:eastAsia="en-US" w:bidi="ar-SA"/>
              </w:rPr>
            </w:r>
            <w:r>
              <w:rPr>
                <w:rFonts w:eastAsia="Calibri" w:cs="Times New Roman"/>
                <w:kern w:val="2"/>
                <w:sz w:val="20"/>
                <w:szCs w:val="20"/>
                <w:vertAlign w:val="superscript"/>
                <w:lang w:val="en-US" w:eastAsia="en-US" w:bidi="ar-SA"/>
              </w:rPr>
              <w:t>21</w:t>
            </w:r>
            <w:r>
              <w:rPr>
                <w:rFonts w:eastAsia="Calibri" w:cs="Times New Roman"/>
                <w:kern w:val="2"/>
                <w:sz w:val="20"/>
                <w:szCs w:val="20"/>
                <w:lang w:val="en-US" w:eastAsia="en-US" w:bidi="ar-SA"/>
              </w:rPr>
            </w:r>
            <w:r>
              <w:rPr>
                <w:sz w:val="20"/>
                <w:kern w:val="2"/>
                <w:szCs w:val="20"/>
                <w:rFonts w:eastAsia="Calibri" w:cs="Times New Roman"/>
                <w:lang w:val="en-US" w:eastAsia="en-US" w:bidi="ar-SA"/>
              </w:rPr>
              <w:fldChar w:fldCharType="end"/>
            </w:r>
            <w:r>
              <w:rPr>
                <w:rFonts w:eastAsia="Calibri" w:cs="Times New Roman"/>
                <w:kern w:val="2"/>
                <w:sz w:val="20"/>
                <w:szCs w:val="20"/>
                <w:lang w:val="en-US" w:eastAsia="en-US" w:bidi="ar-SA"/>
              </w:rPr>
              <w:t>)</w:t>
            </w:r>
          </w:p>
          <w:p>
            <w:pPr>
              <w:pStyle w:val="Normal"/>
              <w:widowControl/>
              <w:bidi w:val="0"/>
              <w:spacing w:lineRule="auto" w:line="360" w:before="0" w:after="0"/>
              <w:jc w:val="start"/>
              <w:rPr>
                <w:lang w:val="en-US"/>
              </w:rPr>
            </w:pPr>
            <w:r>
              <w:rPr>
                <w:rFonts w:eastAsia="Calibri" w:cs="Times New Roman"/>
                <w:kern w:val="2"/>
                <w:sz w:val="20"/>
                <w:szCs w:val="20"/>
                <w:lang w:val="en-US" w:eastAsia="en-US" w:bidi="ar-SA"/>
              </w:rPr>
              <w:t>TG: 230-1000 (Lennard method</w:t>
            </w:r>
            <w:r>
              <w:fldChar w:fldCharType="begin"/>
            </w:r>
            <w:r>
              <w:rPr>
                <w:sz w:val="20"/>
                <w:kern w:val="2"/>
                <w:szCs w:val="20"/>
                <w:rFonts w:eastAsia="Calibri" w:cs="Times New Roman"/>
                <w:lang w:val="en-US" w:eastAsia="en-US" w:bidi="ar-SA"/>
              </w:rPr>
              <w:instrText xml:space="preserve">ADDIN EN.CITE &lt;EndNote&gt;&lt;Cite&gt;&lt;Author&gt;Lennard&lt;/Author&gt;&lt;Year&gt;1992&lt;/Year&gt;&lt;RecNum&gt;411&lt;/RecNum&gt;&lt;DisplayText&gt;&lt;style face="superscript"&gt;21&lt;/style&gt;&lt;/DisplayText&gt;&lt;record&gt;&lt;rec-number&gt;411&lt;/rec-number&gt;&lt;foreign-keys&gt;&lt;key app="EN" db-id="rs5a55vvspxz5uespwzvws0ppwexpv9rr5re" timestamp="1738595389"&gt;411&lt;/key&gt;&lt;/foreign-keys&gt;&lt;ref-type name="Journal Article"&gt;17&lt;/ref-type&gt;&lt;contributors&gt;&lt;authors&gt;&lt;author&gt;Lennard, L.&lt;/author&gt;&lt;author&gt;Singleton, H. J.&lt;/author&gt;&lt;/authors&gt;&lt;/contributors&gt;&lt;auth-address&gt;Department of Medicine and Pharmacology, Floor L, Royal Hallamshire Hospital, Sheffield, UK.&lt;/auth-address&gt;&lt;titles&gt;&lt;title&gt;High-performance liquid chromatographic assay of the methyl and nucleotide metabolites of 6-mercaptopurine: quantitation of red blood cell 6-thioguanine nucleotide, 6-thioinosinic acid and 6-methylmercaptopurine metabolites in a single sample&lt;/title&gt;&lt;secondary-title&gt;J Chromatogr&lt;/secondary-title&gt;&lt;/titles&gt;&lt;periodical&gt;&lt;full-title&gt;J Chromatogr&lt;/full-title&gt;&lt;/periodical&gt;&lt;pages&gt;83-90&lt;/pages&gt;&lt;volume&gt;583&lt;/volume&gt;&lt;number&gt;1&lt;/number&gt;&lt;keywords&gt;&lt;keyword&gt;Chromatography, High Pressure Liquid&lt;/keyword&gt;&lt;keyword&gt;Erythrocytes/*chemistry&lt;/keyword&gt;&lt;keyword&gt;Humans&lt;/keyword&gt;&lt;keyword&gt;Hydrolysis&lt;/keyword&gt;&lt;keyword&gt;Inosine Monophosphate/*analogs &amp;amp; derivatives/blood&lt;/keyword&gt;&lt;keyword&gt;Mercaptopurine/*blood&lt;/keyword&gt;&lt;keyword&gt;Methylthioinosine/*blood&lt;/keyword&gt;&lt;keyword&gt;Thionucleotides/*blood&lt;/keyword&gt;&lt;/keywords&gt;&lt;dates&gt;&lt;year&gt;1992&lt;/year&gt;&lt;pub-dates&gt;&lt;date&gt;Nov 27&lt;/date&gt;&lt;/pub-dates&gt;&lt;/dates&gt;&lt;accession-num&gt;1484095&lt;/accession-num&gt;&lt;urls&gt;&lt;/urls&gt;&lt;electronic-resource-num&gt;10.1016/0378-4347(92)80347-s&lt;/electronic-resource-num&gt;&lt;remote-database-provider&gt;NLM&lt;/remote-database-provider&gt;&lt;language&gt;eng&lt;/language&gt;&lt;/record&gt;&lt;/Cite&gt;&lt;/EndNote&gt;</w:instrText>
            </w:r>
            <w:r>
              <w:rPr>
                <w:rFonts w:eastAsia="Calibri" w:cs="Times New Roman"/>
                <w:kern w:val="2"/>
                <w:sz w:val="20"/>
                <w:szCs w:val="20"/>
                <w:lang w:val="en-US" w:eastAsia="en-US" w:bidi="ar-SA"/>
              </w:rPr>
            </w:r>
            <w:r>
              <w:rPr>
                <w:sz w:val="20"/>
                <w:kern w:val="2"/>
                <w:szCs w:val="20"/>
                <w:rFonts w:eastAsia="Calibri" w:cs="Times New Roman"/>
                <w:lang w:val="en-US" w:eastAsia="en-US" w:bidi="ar-SA"/>
              </w:rPr>
              <w:fldChar w:fldCharType="separate"/>
            </w:r>
            <w:r>
              <w:rPr>
                <w:rFonts w:eastAsia="Calibri" w:cs="Times New Roman"/>
                <w:kern w:val="2"/>
                <w:sz w:val="20"/>
                <w:szCs w:val="20"/>
                <w:lang w:val="en-US" w:eastAsia="en-US" w:bidi="ar-SA"/>
              </w:rPr>
            </w:r>
            <w:r>
              <w:rPr>
                <w:rFonts w:eastAsia="Calibri" w:cs="Times New Roman"/>
                <w:kern w:val="2"/>
                <w:sz w:val="20"/>
                <w:szCs w:val="20"/>
                <w:vertAlign w:val="superscript"/>
                <w:lang w:val="en-US" w:eastAsia="en-US" w:bidi="ar-SA"/>
              </w:rPr>
              <w:t>21</w:t>
            </w:r>
            <w:r>
              <w:rPr>
                <w:rFonts w:eastAsia="Calibri" w:cs="Times New Roman"/>
                <w:kern w:val="2"/>
                <w:sz w:val="20"/>
                <w:szCs w:val="20"/>
                <w:lang w:val="en-US" w:eastAsia="en-US" w:bidi="ar-SA"/>
              </w:rPr>
            </w:r>
            <w:r>
              <w:rPr>
                <w:sz w:val="20"/>
                <w:kern w:val="2"/>
                <w:szCs w:val="20"/>
                <w:rFonts w:eastAsia="Calibri" w:cs="Times New Roman"/>
                <w:lang w:val="en-US" w:eastAsia="en-US" w:bidi="ar-SA"/>
              </w:rPr>
              <w:fldChar w:fldCharType="end"/>
            </w:r>
            <w:r>
              <w:rPr>
                <w:rFonts w:eastAsia="Calibri" w:cs="Times New Roman"/>
                <w:kern w:val="2"/>
                <w:sz w:val="20"/>
                <w:szCs w:val="20"/>
                <w:lang w:val="en-US" w:eastAsia="en-US" w:bidi="ar-SA"/>
              </w:rPr>
              <w:t>)</w:t>
            </w:r>
          </w:p>
          <w:p>
            <w:pPr>
              <w:pStyle w:val="Normal"/>
              <w:widowControl/>
              <w:bidi w:val="0"/>
              <w:spacing w:lineRule="auto" w:line="360" w:before="0" w:after="0"/>
              <w:jc w:val="start"/>
              <w:rPr>
                <w:u w:val="single"/>
                <w:lang w:val="en-US"/>
              </w:rPr>
            </w:pPr>
            <w:r>
              <w:rPr>
                <w:rFonts w:eastAsia="Calibri" w:cs="Times New Roman"/>
                <w:kern w:val="2"/>
                <w:sz w:val="20"/>
                <w:szCs w:val="20"/>
                <w:u w:val="single"/>
                <w:lang w:val="en-US" w:eastAsia="en-US" w:bidi="ar-SA"/>
              </w:rPr>
              <w:t>Toxic 6-TGN levels</w:t>
            </w:r>
          </w:p>
          <w:p>
            <w:pPr>
              <w:pStyle w:val="Normal"/>
              <w:widowControl/>
              <w:bidi w:val="0"/>
              <w:spacing w:lineRule="auto" w:line="360" w:before="0" w:after="0"/>
              <w:jc w:val="start"/>
              <w:rPr>
                <w:lang w:val="en-US"/>
              </w:rPr>
            </w:pPr>
            <w:r>
              <w:rPr>
                <w:rFonts w:eastAsia="Calibri" w:cs="Times New Roman"/>
                <w:kern w:val="2"/>
                <w:sz w:val="20"/>
                <w:szCs w:val="20"/>
                <w:lang w:val="en-US" w:eastAsia="en-US" w:bidi="ar-SA"/>
              </w:rPr>
              <w:t>AZA/MP: &gt;450 (6-TGN, Lennard method</w:t>
            </w:r>
            <w:r>
              <w:fldChar w:fldCharType="begin"/>
            </w:r>
            <w:r>
              <w:rPr>
                <w:sz w:val="20"/>
                <w:kern w:val="2"/>
                <w:szCs w:val="20"/>
                <w:rFonts w:eastAsia="Calibri" w:cs="Times New Roman"/>
                <w:lang w:val="en-US" w:eastAsia="en-US" w:bidi="ar-SA"/>
              </w:rPr>
              <w:instrText xml:space="preserve">ADDIN EN.CITE &lt;EndNote&gt;&lt;Cite&gt;&lt;Author&gt;Lennard&lt;/Author&gt;&lt;Year&gt;1992&lt;/Year&gt;&lt;RecNum&gt;411&lt;/RecNum&gt;&lt;DisplayText&gt;&lt;style face="superscript"&gt;21&lt;/style&gt;&lt;/DisplayText&gt;&lt;record&gt;&lt;rec-number&gt;411&lt;/rec-number&gt;&lt;foreign-keys&gt;&lt;key app="EN" db-id="rs5a55vvspxz5uespwzvws0ppwexpv9rr5re" timestamp="1738595389"&gt;411&lt;/key&gt;&lt;/foreign-keys&gt;&lt;ref-type name="Journal Article"&gt;17&lt;/ref-type&gt;&lt;contributors&gt;&lt;authors&gt;&lt;author&gt;Lennard, L.&lt;/author&gt;&lt;author&gt;Singleton, H. J.&lt;/author&gt;&lt;/authors&gt;&lt;/contributors&gt;&lt;auth-address&gt;Department of Medicine and Pharmacology, Floor L, Royal Hallamshire Hospital, Sheffield, UK.&lt;/auth-address&gt;&lt;titles&gt;&lt;title&gt;High-performance liquid chromatographic assay of the methyl and nucleotide metabolites of 6-mercaptopurine: quantitation of red blood cell 6-thioguanine nucleotide, 6-thioinosinic acid and 6-methylmercaptopurine metabolites in a single sample&lt;/title&gt;&lt;secondary-title&gt;J Chromatogr&lt;/secondary-title&gt;&lt;/titles&gt;&lt;periodical&gt;&lt;full-title&gt;J Chromatogr&lt;/full-title&gt;&lt;/periodical&gt;&lt;pages&gt;83-90&lt;/pages&gt;&lt;volume&gt;583&lt;/volume&gt;&lt;number&gt;1&lt;/number&gt;&lt;keywords&gt;&lt;keyword&gt;Chromatography, High Pressure Liquid&lt;/keyword&gt;&lt;keyword&gt;Erythrocytes/*chemistry&lt;/keyword&gt;&lt;keyword&gt;Humans&lt;/keyword&gt;&lt;keyword&gt;Hydrolysis&lt;/keyword&gt;&lt;keyword&gt;Inosine Monophosphate/*analogs &amp;amp; derivatives/blood&lt;/keyword&gt;&lt;keyword&gt;Mercaptopurine/*blood&lt;/keyword&gt;&lt;keyword&gt;Methylthioinosine/*blood&lt;/keyword&gt;&lt;keyword&gt;Thionucleotides/*blood&lt;/keyword&gt;&lt;/keywords&gt;&lt;dates&gt;&lt;year&gt;1992&lt;/year&gt;&lt;pub-dates&gt;&lt;date&gt;Nov 27&lt;/date&gt;&lt;/pub-dates&gt;&lt;/dates&gt;&lt;accession-num&gt;1484095&lt;/accession-num&gt;&lt;urls&gt;&lt;/urls&gt;&lt;electronic-resource-num&gt;10.1016/0378-4347(92)80347-s&lt;/electronic-resource-num&gt;&lt;remote-database-provider&gt;NLM&lt;/remote-database-provider&gt;&lt;language&gt;eng&lt;/language&gt;&lt;/record&gt;&lt;/Cite&gt;&lt;/EndNote&gt;</w:instrText>
            </w:r>
            <w:r>
              <w:rPr>
                <w:rFonts w:eastAsia="Calibri" w:cs="Times New Roman"/>
                <w:kern w:val="2"/>
                <w:sz w:val="20"/>
                <w:szCs w:val="20"/>
                <w:lang w:val="en-US" w:eastAsia="en-US" w:bidi="ar-SA"/>
              </w:rPr>
            </w:r>
            <w:r>
              <w:rPr>
                <w:sz w:val="20"/>
                <w:kern w:val="2"/>
                <w:szCs w:val="20"/>
                <w:rFonts w:eastAsia="Calibri" w:cs="Times New Roman"/>
                <w:lang w:val="en-US" w:eastAsia="en-US" w:bidi="ar-SA"/>
              </w:rPr>
              <w:fldChar w:fldCharType="separate"/>
            </w:r>
            <w:r>
              <w:rPr>
                <w:rFonts w:eastAsia="Calibri" w:cs="Times New Roman"/>
                <w:kern w:val="2"/>
                <w:sz w:val="20"/>
                <w:szCs w:val="20"/>
                <w:lang w:val="en-US" w:eastAsia="en-US" w:bidi="ar-SA"/>
              </w:rPr>
            </w:r>
            <w:r>
              <w:rPr>
                <w:rFonts w:eastAsia="Calibri" w:cs="Times New Roman"/>
                <w:kern w:val="2"/>
                <w:sz w:val="20"/>
                <w:szCs w:val="20"/>
                <w:vertAlign w:val="superscript"/>
                <w:lang w:val="en-US" w:eastAsia="en-US" w:bidi="ar-SA"/>
              </w:rPr>
              <w:t>21</w:t>
            </w:r>
            <w:r>
              <w:rPr>
                <w:rFonts w:eastAsia="Calibri" w:cs="Times New Roman"/>
                <w:kern w:val="2"/>
                <w:sz w:val="20"/>
                <w:szCs w:val="20"/>
                <w:lang w:val="en-US" w:eastAsia="en-US" w:bidi="ar-SA"/>
              </w:rPr>
            </w:r>
            <w:r>
              <w:rPr>
                <w:sz w:val="20"/>
                <w:kern w:val="2"/>
                <w:szCs w:val="20"/>
                <w:rFonts w:eastAsia="Calibri" w:cs="Times New Roman"/>
                <w:lang w:val="en-US" w:eastAsia="en-US" w:bidi="ar-SA"/>
              </w:rPr>
              <w:fldChar w:fldCharType="end"/>
            </w:r>
            <w:r>
              <w:rPr>
                <w:rFonts w:eastAsia="Calibri" w:cs="Times New Roman"/>
                <w:kern w:val="2"/>
                <w:sz w:val="20"/>
                <w:szCs w:val="20"/>
                <w:lang w:val="en-US" w:eastAsia="en-US" w:bidi="ar-SA"/>
              </w:rPr>
              <w:t>), &gt; 5700 (6-MMP, Lennard method</w:t>
            </w:r>
            <w:r>
              <w:fldChar w:fldCharType="begin"/>
            </w:r>
            <w:r>
              <w:rPr>
                <w:sz w:val="20"/>
                <w:kern w:val="2"/>
                <w:szCs w:val="20"/>
                <w:rFonts w:eastAsia="Calibri" w:cs="Times New Roman"/>
                <w:lang w:val="en-US" w:eastAsia="en-US" w:bidi="ar-SA"/>
              </w:rPr>
              <w:instrText xml:space="preserve">ADDIN EN.CITE &lt;EndNote&gt;&lt;Cite&gt;&lt;Author&gt;Lennard&lt;/Author&gt;&lt;Year&gt;1992&lt;/Year&gt;&lt;RecNum&gt;411&lt;/RecNum&gt;&lt;DisplayText&gt;&lt;style face="superscript"&gt;21&lt;/style&gt;&lt;/DisplayText&gt;&lt;record&gt;&lt;rec-number&gt;411&lt;/rec-number&gt;&lt;foreign-keys&gt;&lt;key app="EN" db-id="rs5a55vvspxz5uespwzvws0ppwexpv9rr5re" timestamp="1738595389"&gt;411&lt;/key&gt;&lt;/foreign-keys&gt;&lt;ref-type name="Journal Article"&gt;17&lt;/ref-type&gt;&lt;contributors&gt;&lt;authors&gt;&lt;author&gt;Lennard, L.&lt;/author&gt;&lt;author&gt;Singleton, H. J.&lt;/author&gt;&lt;/authors&gt;&lt;/contributors&gt;&lt;auth-address&gt;Department of Medicine and Pharmacology, Floor L, Royal Hallamshire Hospital, Sheffield, UK.&lt;/auth-address&gt;&lt;titles&gt;&lt;title&gt;High-performance liquid chromatographic assay of the methyl and nucleotide metabolites of 6-mercaptopurine: quantitation of red blood cell 6-thioguanine nucleotide, 6-thioinosinic acid and 6-methylmercaptopurine metabolites in a single sample&lt;/title&gt;&lt;secondary-title&gt;J Chromatogr&lt;/secondary-title&gt;&lt;/titles&gt;&lt;periodical&gt;&lt;full-title&gt;J Chromatogr&lt;/full-title&gt;&lt;/periodical&gt;&lt;pages&gt;83-90&lt;/pages&gt;&lt;volume&gt;583&lt;/volume&gt;&lt;number&gt;1&lt;/number&gt;&lt;keywords&gt;&lt;keyword&gt;Chromatography, High Pressure Liquid&lt;/keyword&gt;&lt;keyword&gt;Erythrocytes/*chemistry&lt;/keyword&gt;&lt;keyword&gt;Humans&lt;/keyword&gt;&lt;keyword&gt;Hydrolysis&lt;/keyword&gt;&lt;keyword&gt;Inosine Monophosphate/*analogs &amp;amp; derivatives/blood&lt;/keyword&gt;&lt;keyword&gt;Mercaptopurine/*blood&lt;/keyword&gt;&lt;keyword&gt;Methylthioinosine/*blood&lt;/keyword&gt;&lt;keyword&gt;Thionucleotides/*blood&lt;/keyword&gt;&lt;/keywords&gt;&lt;dates&gt;&lt;year&gt;1992&lt;/year&gt;&lt;pub-dates&gt;&lt;date&gt;Nov 27&lt;/date&gt;&lt;/pub-dates&gt;&lt;/dates&gt;&lt;accession-num&gt;1484095&lt;/accession-num&gt;&lt;urls&gt;&lt;/urls&gt;&lt;electronic-resource-num&gt;10.1016/0378-4347(92)80347-s&lt;/electronic-resource-num&gt;&lt;remote-database-provider&gt;NLM&lt;/remote-database-provider&gt;&lt;language&gt;eng&lt;/language&gt;&lt;/record&gt;&lt;/Cite&gt;&lt;/EndNote&gt;</w:instrText>
            </w:r>
            <w:r>
              <w:rPr>
                <w:rFonts w:eastAsia="Calibri" w:cs="Times New Roman"/>
                <w:kern w:val="2"/>
                <w:sz w:val="20"/>
                <w:szCs w:val="20"/>
                <w:lang w:val="en-US" w:eastAsia="en-US" w:bidi="ar-SA"/>
              </w:rPr>
            </w:r>
            <w:r>
              <w:rPr>
                <w:sz w:val="20"/>
                <w:kern w:val="2"/>
                <w:szCs w:val="20"/>
                <w:rFonts w:eastAsia="Calibri" w:cs="Times New Roman"/>
                <w:lang w:val="en-US" w:eastAsia="en-US" w:bidi="ar-SA"/>
              </w:rPr>
              <w:fldChar w:fldCharType="separate"/>
            </w:r>
            <w:r>
              <w:rPr>
                <w:rFonts w:eastAsia="Calibri" w:cs="Times New Roman"/>
                <w:kern w:val="2"/>
                <w:sz w:val="20"/>
                <w:szCs w:val="20"/>
                <w:lang w:val="en-US" w:eastAsia="en-US" w:bidi="ar-SA"/>
              </w:rPr>
            </w:r>
            <w:r>
              <w:rPr>
                <w:rFonts w:eastAsia="Calibri" w:cs="Times New Roman"/>
                <w:kern w:val="2"/>
                <w:sz w:val="20"/>
                <w:szCs w:val="20"/>
                <w:vertAlign w:val="superscript"/>
                <w:lang w:val="en-US" w:eastAsia="en-US" w:bidi="ar-SA"/>
              </w:rPr>
              <w:t>21</w:t>
            </w:r>
            <w:r>
              <w:rPr>
                <w:rFonts w:eastAsia="Calibri" w:cs="Times New Roman"/>
                <w:kern w:val="2"/>
                <w:sz w:val="20"/>
                <w:szCs w:val="20"/>
                <w:lang w:val="en-US" w:eastAsia="en-US" w:bidi="ar-SA"/>
              </w:rPr>
            </w:r>
            <w:r>
              <w:rPr>
                <w:sz w:val="20"/>
                <w:kern w:val="2"/>
                <w:szCs w:val="20"/>
                <w:rFonts w:eastAsia="Calibri" w:cs="Times New Roman"/>
                <w:lang w:val="en-US" w:eastAsia="en-US" w:bidi="ar-SA"/>
              </w:rPr>
              <w:fldChar w:fldCharType="end"/>
            </w:r>
            <w:r>
              <w:rPr>
                <w:rFonts w:eastAsia="Calibri" w:cs="Times New Roman"/>
                <w:kern w:val="2"/>
                <w:sz w:val="20"/>
                <w:szCs w:val="20"/>
                <w:lang w:val="en-US" w:eastAsia="en-US" w:bidi="ar-SA"/>
              </w:rPr>
              <w:t>).</w:t>
            </w:r>
          </w:p>
          <w:p>
            <w:pPr>
              <w:pStyle w:val="Normal"/>
              <w:widowControl/>
              <w:bidi w:val="0"/>
              <w:spacing w:lineRule="auto" w:line="360" w:before="0" w:after="0"/>
              <w:jc w:val="start"/>
              <w:rPr>
                <w:lang w:val="en-US"/>
              </w:rPr>
            </w:pPr>
            <w:r>
              <w:rPr>
                <w:rFonts w:eastAsia="Calibri" w:cs="Times New Roman"/>
                <w:kern w:val="2"/>
                <w:sz w:val="20"/>
                <w:szCs w:val="20"/>
                <w:lang w:val="en-US" w:eastAsia="en-US" w:bidi="ar-SA"/>
              </w:rPr>
              <w:t>TG: &gt;2000 (6-TGN, Lennard method</w:t>
            </w:r>
            <w:r>
              <w:fldChar w:fldCharType="begin"/>
            </w:r>
            <w:r>
              <w:rPr>
                <w:sz w:val="20"/>
                <w:kern w:val="2"/>
                <w:szCs w:val="20"/>
                <w:rFonts w:eastAsia="Calibri" w:cs="Times New Roman"/>
                <w:lang w:val="en-US" w:eastAsia="en-US" w:bidi="ar-SA"/>
              </w:rPr>
              <w:instrText xml:space="preserve">ADDIN EN.CITE &lt;EndNote&gt;&lt;Cite&gt;&lt;Author&gt;Lennard&lt;/Author&gt;&lt;Year&gt;1992&lt;/Year&gt;&lt;RecNum&gt;411&lt;/RecNum&gt;&lt;DisplayText&gt;&lt;style face="superscript"&gt;21&lt;/style&gt;&lt;/DisplayText&gt;&lt;record&gt;&lt;rec-number&gt;411&lt;/rec-number&gt;&lt;foreign-keys&gt;&lt;key app="EN" db-id="rs5a55vvspxz5uespwzvws0ppwexpv9rr5re" timestamp="1738595389"&gt;411&lt;/key&gt;&lt;/foreign-keys&gt;&lt;ref-type name="Journal Article"&gt;17&lt;/ref-type&gt;&lt;contributors&gt;&lt;authors&gt;&lt;author&gt;Lennard, L.&lt;/author&gt;&lt;author&gt;Singleton, H. J.&lt;/author&gt;&lt;/authors&gt;&lt;/contributors&gt;&lt;auth-address&gt;Department of Medicine and Pharmacology, Floor L, Royal Hallamshire Hospital, Sheffield, UK.&lt;/auth-address&gt;&lt;titles&gt;&lt;title&gt;High-performance liquid chromatographic assay of the methyl and nucleotide metabolites of 6-mercaptopurine: quantitation of red blood cell 6-thioguanine nucleotide, 6-thioinosinic acid and 6-methylmercaptopurine metabolites in a single sample&lt;/title&gt;&lt;secondary-title&gt;J Chromatogr&lt;/secondary-title&gt;&lt;/titles&gt;&lt;periodical&gt;&lt;full-title&gt;J Chromatogr&lt;/full-title&gt;&lt;/periodical&gt;&lt;pages&gt;83-90&lt;/pages&gt;&lt;volume&gt;583&lt;/volume&gt;&lt;number&gt;1&lt;/number&gt;&lt;keywords&gt;&lt;keyword&gt;Chromatography, High Pressure Liquid&lt;/keyword&gt;&lt;keyword&gt;Erythrocytes/*chemistry&lt;/keyword&gt;&lt;keyword&gt;Humans&lt;/keyword&gt;&lt;keyword&gt;Hydrolysis&lt;/keyword&gt;&lt;keyword&gt;Inosine Monophosphate/*analogs &amp;amp; derivatives/blood&lt;/keyword&gt;&lt;keyword&gt;Mercaptopurine/*blood&lt;/keyword&gt;&lt;keyword&gt;Methylthioinosine/*blood&lt;/keyword&gt;&lt;keyword&gt;Thionucleotides/*blood&lt;/keyword&gt;&lt;/keywords&gt;&lt;dates&gt;&lt;year&gt;1992&lt;/year&gt;&lt;pub-dates&gt;&lt;date&gt;Nov 27&lt;/date&gt;&lt;/pub-dates&gt;&lt;/dates&gt;&lt;accession-num&gt;1484095&lt;/accession-num&gt;&lt;urls&gt;&lt;/urls&gt;&lt;electronic-resource-num&gt;10.1016/0378-4347(92)80347-s&lt;/electronic-resource-num&gt;&lt;remote-database-provider&gt;NLM&lt;/remote-database-provider&gt;&lt;language&gt;eng&lt;/language&gt;&lt;/record&gt;&lt;/Cite&gt;&lt;/EndNote&gt;</w:instrText>
            </w:r>
            <w:r>
              <w:rPr>
                <w:rFonts w:eastAsia="Calibri" w:cs="Times New Roman"/>
                <w:kern w:val="2"/>
                <w:sz w:val="20"/>
                <w:szCs w:val="20"/>
                <w:lang w:val="en-US" w:eastAsia="en-US" w:bidi="ar-SA"/>
              </w:rPr>
            </w:r>
            <w:r>
              <w:rPr>
                <w:sz w:val="20"/>
                <w:kern w:val="2"/>
                <w:szCs w:val="20"/>
                <w:rFonts w:eastAsia="Calibri" w:cs="Times New Roman"/>
                <w:lang w:val="en-US" w:eastAsia="en-US" w:bidi="ar-SA"/>
              </w:rPr>
              <w:fldChar w:fldCharType="separate"/>
            </w:r>
            <w:r>
              <w:rPr>
                <w:rFonts w:eastAsia="Calibri" w:cs="Times New Roman"/>
                <w:kern w:val="2"/>
                <w:sz w:val="20"/>
                <w:szCs w:val="20"/>
                <w:lang w:val="en-US" w:eastAsia="en-US" w:bidi="ar-SA"/>
              </w:rPr>
            </w:r>
            <w:r>
              <w:rPr>
                <w:rFonts w:eastAsia="Calibri" w:cs="Times New Roman"/>
                <w:kern w:val="2"/>
                <w:sz w:val="20"/>
                <w:szCs w:val="20"/>
                <w:vertAlign w:val="superscript"/>
                <w:lang w:val="en-US" w:eastAsia="en-US" w:bidi="ar-SA"/>
              </w:rPr>
              <w:t>21</w:t>
            </w:r>
            <w:r>
              <w:rPr>
                <w:rFonts w:eastAsia="Calibri" w:cs="Times New Roman"/>
                <w:kern w:val="2"/>
                <w:sz w:val="20"/>
                <w:szCs w:val="20"/>
                <w:lang w:val="en-US" w:eastAsia="en-US" w:bidi="ar-SA"/>
              </w:rPr>
            </w:r>
            <w:r>
              <w:rPr>
                <w:sz w:val="20"/>
                <w:kern w:val="2"/>
                <w:szCs w:val="20"/>
                <w:rFonts w:eastAsia="Calibri" w:cs="Times New Roman"/>
                <w:lang w:val="en-US" w:eastAsia="en-US" w:bidi="ar-SA"/>
              </w:rPr>
              <w:fldChar w:fldCharType="end"/>
            </w:r>
            <w:r>
              <w:rPr>
                <w:rFonts w:eastAsia="Calibri" w:cs="Times New Roman"/>
                <w:kern w:val="2"/>
                <w:sz w:val="20"/>
                <w:szCs w:val="20"/>
                <w:lang w:val="en-US" w:eastAsia="en-US" w:bidi="ar-SA"/>
              </w:rPr>
              <w:t>).</w:t>
            </w:r>
          </w:p>
        </w:tc>
        <w:tc>
          <w:tcPr>
            <w:tcW w:w="4678" w:type="dxa"/>
            <w:tcBorders/>
          </w:tcPr>
          <w:p>
            <w:pPr>
              <w:pStyle w:val="Normal"/>
              <w:widowControl/>
              <w:bidi w:val="0"/>
              <w:spacing w:lineRule="auto" w:line="360" w:before="0" w:after="0"/>
              <w:jc w:val="start"/>
              <w:rPr>
                <w:u w:val="single"/>
                <w:lang w:val="en-US"/>
              </w:rPr>
            </w:pPr>
            <w:r>
              <w:rPr>
                <w:rFonts w:eastAsia="Calibri" w:cs="Times New Roman"/>
                <w:kern w:val="2"/>
                <w:sz w:val="20"/>
                <w:szCs w:val="20"/>
                <w:u w:val="single"/>
                <w:lang w:val="en-US" w:eastAsia="en-US" w:bidi="ar-SA"/>
              </w:rPr>
              <w:t>TPMT testing before therapy.</w:t>
            </w:r>
          </w:p>
          <w:p>
            <w:pPr>
              <w:pStyle w:val="Normal"/>
              <w:widowControl/>
              <w:bidi w:val="0"/>
              <w:spacing w:lineRule="auto" w:line="360" w:before="0" w:after="0"/>
              <w:jc w:val="start"/>
              <w:rPr>
                <w:lang w:val="en-US"/>
              </w:rPr>
            </w:pPr>
            <w:r>
              <w:rPr>
                <w:rFonts w:eastAsia="Calibri" w:cs="Times New Roman"/>
                <w:kern w:val="2"/>
                <w:sz w:val="20"/>
                <w:szCs w:val="20"/>
                <w:lang w:val="en-US" w:eastAsia="en-US" w:bidi="ar-SA"/>
              </w:rPr>
              <w:t>AZA/MP</w:t>
            </w:r>
          </w:p>
          <w:p>
            <w:pPr>
              <w:pStyle w:val="Normal"/>
              <w:widowControl/>
              <w:bidi w:val="0"/>
              <w:spacing w:lineRule="auto" w:line="360" w:before="0" w:after="0"/>
              <w:jc w:val="start"/>
              <w:rPr>
                <w:lang w:val="de-DE"/>
              </w:rPr>
            </w:pPr>
            <w:r>
              <w:rPr>
                <w:rFonts w:eastAsia="Calibri" w:cs="Times New Roman"/>
                <w:kern w:val="2"/>
                <w:sz w:val="20"/>
                <w:szCs w:val="20"/>
                <w:lang w:val="de-DE" w:eastAsia="en-US" w:bidi="ar-SA"/>
              </w:rPr>
              <w:t>TPMT EM: 100% standard dose</w:t>
            </w:r>
          </w:p>
          <w:p>
            <w:pPr>
              <w:pStyle w:val="Normal"/>
              <w:widowControl/>
              <w:bidi w:val="0"/>
              <w:spacing w:lineRule="auto" w:line="360" w:before="0" w:after="0"/>
              <w:jc w:val="start"/>
              <w:rPr>
                <w:lang w:val="de-DE"/>
              </w:rPr>
            </w:pPr>
            <w:r>
              <w:rPr>
                <w:rFonts w:eastAsia="Calibri" w:cs="Times New Roman"/>
                <w:kern w:val="2"/>
                <w:sz w:val="20"/>
                <w:szCs w:val="20"/>
                <w:lang w:val="de-DE" w:eastAsia="en-US" w:bidi="ar-SA"/>
              </w:rPr>
              <w:t>TPMT IM: 50% standard dose</w:t>
            </w:r>
          </w:p>
          <w:p>
            <w:pPr>
              <w:pStyle w:val="Normal"/>
              <w:widowControl/>
              <w:bidi w:val="0"/>
              <w:spacing w:lineRule="auto" w:line="360" w:before="0" w:after="0"/>
              <w:jc w:val="start"/>
              <w:rPr>
                <w:lang w:val="de-DE"/>
              </w:rPr>
            </w:pPr>
            <w:r>
              <w:rPr>
                <w:rFonts w:eastAsia="Calibri" w:cs="Times New Roman"/>
                <w:kern w:val="2"/>
                <w:sz w:val="20"/>
                <w:szCs w:val="20"/>
                <w:lang w:val="de-DE" w:eastAsia="en-US" w:bidi="ar-SA"/>
              </w:rPr>
              <w:t>TPMT PM: 0-10% standard dose</w:t>
            </w:r>
          </w:p>
          <w:p>
            <w:pPr>
              <w:pStyle w:val="Normal"/>
              <w:widowControl/>
              <w:bidi w:val="0"/>
              <w:spacing w:lineRule="auto" w:line="360" w:before="0" w:after="0"/>
              <w:jc w:val="start"/>
              <w:rPr>
                <w:lang w:val="de-DE"/>
              </w:rPr>
            </w:pPr>
            <w:r>
              <w:rPr>
                <w:rFonts w:eastAsia="Calibri" w:cs="Times New Roman"/>
                <w:kern w:val="2"/>
                <w:sz w:val="20"/>
                <w:szCs w:val="20"/>
                <w:lang w:val="de-DE" w:eastAsia="en-US" w:bidi="ar-SA"/>
              </w:rPr>
              <w:t>TG</w:t>
            </w:r>
          </w:p>
          <w:p>
            <w:pPr>
              <w:pStyle w:val="Normal"/>
              <w:widowControl/>
              <w:bidi w:val="0"/>
              <w:spacing w:lineRule="auto" w:line="360" w:before="0" w:after="0"/>
              <w:jc w:val="start"/>
              <w:rPr>
                <w:lang w:val="de-DE"/>
              </w:rPr>
            </w:pPr>
            <w:r>
              <w:rPr>
                <w:rFonts w:eastAsia="Calibri" w:cs="Times New Roman"/>
                <w:kern w:val="2"/>
                <w:sz w:val="20"/>
                <w:szCs w:val="20"/>
                <w:lang w:val="de-DE" w:eastAsia="en-US" w:bidi="ar-SA"/>
              </w:rPr>
              <w:t>TPMT EM: 100% standard dose</w:t>
            </w:r>
          </w:p>
          <w:p>
            <w:pPr>
              <w:pStyle w:val="Normal"/>
              <w:widowControl/>
              <w:bidi w:val="0"/>
              <w:spacing w:lineRule="auto" w:line="360" w:before="0" w:after="0"/>
              <w:jc w:val="start"/>
              <w:rPr>
                <w:lang w:val="de-DE"/>
              </w:rPr>
            </w:pPr>
            <w:r>
              <w:rPr>
                <w:rFonts w:eastAsia="Calibri" w:cs="Times New Roman"/>
                <w:kern w:val="2"/>
                <w:sz w:val="20"/>
                <w:szCs w:val="20"/>
                <w:lang w:val="de-DE" w:eastAsia="en-US" w:bidi="ar-SA"/>
              </w:rPr>
              <w:t>TPMT IM: 75% standard dose</w:t>
            </w:r>
          </w:p>
          <w:p>
            <w:pPr>
              <w:pStyle w:val="Normal"/>
              <w:widowControl/>
              <w:bidi w:val="0"/>
              <w:spacing w:lineRule="auto" w:line="360" w:before="0" w:after="0"/>
              <w:jc w:val="start"/>
              <w:rPr>
                <w:i/>
                <w:i/>
                <w:iCs/>
                <w:lang w:val="en-US"/>
              </w:rPr>
            </w:pPr>
            <w:r>
              <w:rPr>
                <w:rFonts w:eastAsia="Calibri" w:cs="Times New Roman"/>
                <w:kern w:val="2"/>
                <w:sz w:val="20"/>
                <w:szCs w:val="20"/>
                <w:lang w:val="en-US" w:eastAsia="en-US" w:bidi="ar-SA"/>
              </w:rPr>
              <w:t>TPMT PM: 10% standard dose</w:t>
            </w:r>
          </w:p>
        </w:tc>
        <w:tc>
          <w:tcPr>
            <w:tcW w:w="2804" w:type="dxa"/>
            <w:tcBorders/>
          </w:tcPr>
          <w:p>
            <w:pPr>
              <w:pStyle w:val="Normal"/>
              <w:widowControl/>
              <w:bidi w:val="0"/>
              <w:spacing w:lineRule="auto" w:line="360" w:before="0" w:after="0"/>
              <w:jc w:val="start"/>
              <w:rPr>
                <w:i/>
                <w:i/>
                <w:iCs/>
                <w:lang w:val="en-US"/>
              </w:rPr>
            </w:pPr>
            <w:r>
              <w:rPr>
                <w:rFonts w:eastAsia="Calibri" w:cs="Times New Roman"/>
                <w:i/>
                <w:iCs/>
                <w:kern w:val="2"/>
                <w:sz w:val="20"/>
                <w:szCs w:val="20"/>
                <w:lang w:val="en-US" w:eastAsia="en-US" w:bidi="ar-SA"/>
              </w:rPr>
              <w:t>Not mentioned.</w:t>
            </w:r>
          </w:p>
        </w:tc>
      </w:tr>
      <w:tr>
        <w:trPr>
          <w:trHeight w:val="350" w:hRule="atLeast"/>
        </w:trPr>
        <w:tc>
          <w:tcPr>
            <w:tcW w:w="1804" w:type="dxa"/>
            <w:tcBorders/>
          </w:tcPr>
          <w:p>
            <w:pPr>
              <w:pStyle w:val="Normal"/>
              <w:widowControl/>
              <w:bidi w:val="0"/>
              <w:spacing w:lineRule="auto" w:line="360" w:before="0" w:after="0"/>
              <w:jc w:val="start"/>
              <w:rPr>
                <w:lang w:val="en-US"/>
              </w:rPr>
            </w:pPr>
            <w:r>
              <w:rPr>
                <w:rFonts w:eastAsia="Calibri" w:cs="Times New Roman"/>
                <w:kern w:val="2"/>
                <w:sz w:val="20"/>
                <w:szCs w:val="20"/>
                <w:lang w:val="en-US" w:eastAsia="en-US" w:bidi="ar-SA"/>
              </w:rPr>
              <w:t>Lee et al.</w:t>
            </w:r>
            <w:r>
              <w:fldChar w:fldCharType="begin"/>
            </w:r>
            <w:r>
              <w:rPr>
                <w:sz w:val="20"/>
                <w:kern w:val="2"/>
                <w:szCs w:val="20"/>
                <w:rFonts w:eastAsia="Calibri" w:cs="Times New Roman"/>
                <w:lang w:val="en-US" w:eastAsia="en-US" w:bidi="ar-SA"/>
              </w:rPr>
              <w:instrText xml:space="preserve">ADDIN EN.CITE</w:instrText>
            </w:r>
            <w:r>
              <w:rPr>
                <w:rFonts w:eastAsia="Calibri" w:cs="Times New Roman"/>
                <w:kern w:val="2"/>
                <w:sz w:val="20"/>
                <w:szCs w:val="20"/>
                <w:lang w:val="en-US" w:eastAsia="en-US" w:bidi="ar-SA"/>
              </w:rPr>
            </w:r>
            <w:r>
              <w:fldChar w:fldCharType="begin"/>
            </w:r>
            <w:r>
              <w:rPr>
                <w:sz w:val="20"/>
                <w:kern w:val="2"/>
                <w:szCs w:val="20"/>
                <w:rFonts w:eastAsia="Calibri" w:cs="Times New Roman"/>
                <w:lang w:val="en-US" w:eastAsia="en-US" w:bidi="ar-SA"/>
              </w:rPr>
              <w:instrText xml:space="preserve">ADDIN EN.CITE.DATA</w:instrText>
            </w:r>
            <w:r>
              <w:rPr>
                <w:rFonts w:eastAsia="Calibri" w:cs="Times New Roman"/>
                <w:kern w:val="2"/>
                <w:sz w:val="20"/>
                <w:szCs w:val="20"/>
                <w:lang w:val="en-US" w:eastAsia="en-US" w:bidi="ar-SA"/>
              </w:rPr>
            </w:r>
            <w:r>
              <w:rPr>
                <w:sz w:val="20"/>
                <w:kern w:val="2"/>
                <w:szCs w:val="20"/>
                <w:rFonts w:eastAsia="Calibri" w:cs="Times New Roman"/>
                <w:lang w:val="en-US" w:eastAsia="en-US" w:bidi="ar-SA"/>
              </w:rPr>
              <w:fldChar w:fldCharType="separate"/>
            </w:r>
            <w:r>
              <w:rPr>
                <w:rFonts w:eastAsia="Calibri" w:cs="Times New Roman"/>
                <w:kern w:val="2"/>
                <w:sz w:val="20"/>
                <w:szCs w:val="20"/>
                <w:lang w:val="en-US" w:eastAsia="en-US" w:bidi="ar-SA"/>
              </w:rPr>
            </w:r>
            <w:r>
              <w:rPr>
                <w:rFonts w:eastAsia="Calibri" w:cs="Times New Roman"/>
                <w:kern w:val="2"/>
                <w:sz w:val="20"/>
                <w:szCs w:val="20"/>
                <w:lang w:val="en-US" w:eastAsia="en-US" w:bidi="ar-SA"/>
              </w:rPr>
            </w:r>
            <w:r>
              <w:rPr>
                <w:sz w:val="20"/>
                <w:kern w:val="2"/>
                <w:szCs w:val="20"/>
                <w:rFonts w:eastAsia="Calibri" w:cs="Times New Roman"/>
                <w:lang w:val="en-US" w:eastAsia="en-US" w:bidi="ar-SA"/>
              </w:rPr>
              <w:fldChar w:fldCharType="end"/>
            </w:r>
            <w:r>
              <w:rPr>
                <w:sz w:val="20"/>
                <w:kern w:val="2"/>
                <w:szCs w:val="20"/>
                <w:rFonts w:eastAsia="Calibri" w:cs="Times New Roman"/>
                <w:lang w:val="en-US" w:eastAsia="en-US" w:bidi="ar-SA"/>
              </w:rPr>
              <w:fldChar w:fldCharType="separate"/>
            </w:r>
            <w:r>
              <w:rPr>
                <w:rFonts w:eastAsia="Calibri" w:cs="Times New Roman"/>
                <w:kern w:val="2"/>
                <w:sz w:val="20"/>
                <w:szCs w:val="20"/>
                <w:lang w:val="en-US" w:eastAsia="en-US" w:bidi="ar-SA"/>
              </w:rPr>
            </w:r>
            <w:r>
              <w:rPr>
                <w:rFonts w:eastAsia="Calibri" w:cs="Times New Roman"/>
                <w:kern w:val="2"/>
                <w:sz w:val="20"/>
                <w:szCs w:val="20"/>
                <w:vertAlign w:val="superscript"/>
                <w:lang w:val="en-US" w:eastAsia="en-US" w:bidi="ar-SA"/>
              </w:rPr>
              <w:t>17</w:t>
            </w:r>
            <w:r/>
            <w:r>
              <w:rPr>
                <w:sz w:val="20"/>
                <w:kern w:val="2"/>
                <w:szCs w:val="20"/>
                <w:rFonts w:eastAsia="Calibri" w:cs="Times New Roman"/>
                <w:lang w:val="en-US" w:eastAsia="en-US" w:bidi="ar-SA"/>
              </w:rPr>
              <w:fldChar w:fldCharType="end"/>
            </w:r>
            <w:r>
              <w:rPr>
                <w:rFonts w:eastAsia="Calibri" w:cs="Times New Roman"/>
                <w:kern w:val="2"/>
                <w:sz w:val="20"/>
                <w:szCs w:val="20"/>
                <w:lang w:val="en-US" w:eastAsia="en-US" w:bidi="ar-SA"/>
              </w:rPr>
            </w:r>
          </w:p>
        </w:tc>
        <w:tc>
          <w:tcPr>
            <w:tcW w:w="5562" w:type="dxa"/>
            <w:tcBorders/>
          </w:tcPr>
          <w:p>
            <w:pPr>
              <w:pStyle w:val="Normal"/>
              <w:widowControl/>
              <w:bidi w:val="0"/>
              <w:spacing w:lineRule="auto" w:line="360" w:before="0" w:after="0"/>
              <w:jc w:val="start"/>
              <w:rPr>
                <w:i/>
                <w:i/>
                <w:iCs/>
                <w:lang w:val="en-US"/>
              </w:rPr>
            </w:pPr>
            <w:r>
              <w:rPr>
                <w:rFonts w:eastAsia="Calibri" w:cs="Times New Roman"/>
                <w:i/>
                <w:iCs/>
                <w:kern w:val="2"/>
                <w:sz w:val="20"/>
                <w:szCs w:val="20"/>
                <w:lang w:val="en-US" w:eastAsia="en-US" w:bidi="ar-SA"/>
              </w:rPr>
              <w:t>The Dose Adjustment of Thiopurines Through Monitoring of 6-TGN and 6-Methylmercaptopurine (6-MMP) Levels Is Expected to Improve Efficacy and Reduce Side Effects in Patients Treated With Thiopurines. Quality of evidence: Moderate Classification of recommendation: Weak Level of agreement: Strongly agree 18%, Agree 69%, Uncertain 13%</w:t>
            </w:r>
          </w:p>
        </w:tc>
        <w:tc>
          <w:tcPr>
            <w:tcW w:w="4678" w:type="dxa"/>
            <w:tcBorders/>
          </w:tcPr>
          <w:p>
            <w:pPr>
              <w:pStyle w:val="Normal"/>
              <w:widowControl/>
              <w:bidi w:val="0"/>
              <w:spacing w:lineRule="auto" w:line="360" w:before="0" w:after="0"/>
              <w:jc w:val="start"/>
              <w:rPr>
                <w:i/>
                <w:i/>
                <w:iCs/>
                <w:lang w:val="en-US"/>
              </w:rPr>
            </w:pPr>
            <w:r>
              <w:rPr>
                <w:rFonts w:eastAsia="Calibri" w:cs="Times New Roman"/>
                <w:i/>
                <w:iCs/>
                <w:kern w:val="2"/>
                <w:sz w:val="20"/>
                <w:szCs w:val="20"/>
                <w:lang w:val="en-US" w:eastAsia="en-US" w:bidi="ar-SA"/>
              </w:rPr>
              <w:t>Assessment of the TPMT Genotype or Enzyme Activity Before Initiating Thiopurine Therapy Is of Limited Value in East-Asian Populations Compared to That in Caucasians.</w:t>
            </w:r>
          </w:p>
          <w:p>
            <w:pPr>
              <w:pStyle w:val="Normal"/>
              <w:widowControl/>
              <w:bidi w:val="0"/>
              <w:spacing w:lineRule="auto" w:line="360" w:before="0" w:after="0"/>
              <w:jc w:val="start"/>
              <w:rPr>
                <w:i/>
                <w:i/>
                <w:iCs/>
                <w:lang w:val="en-US"/>
              </w:rPr>
            </w:pPr>
            <w:r>
              <w:rPr>
                <w:rFonts w:eastAsia="Calibri" w:cs="Times New Roman"/>
                <w:i/>
                <w:iCs/>
                <w:kern w:val="2"/>
                <w:sz w:val="20"/>
                <w:szCs w:val="20"/>
                <w:lang w:val="en-US" w:eastAsia="en-US" w:bidi="ar-SA"/>
              </w:rPr>
              <w:t>Quality of evidence: Moderate</w:t>
            </w:r>
          </w:p>
          <w:p>
            <w:pPr>
              <w:pStyle w:val="Normal"/>
              <w:widowControl/>
              <w:bidi w:val="0"/>
              <w:spacing w:lineRule="auto" w:line="360" w:before="0" w:after="0"/>
              <w:jc w:val="start"/>
              <w:rPr>
                <w:i/>
                <w:i/>
                <w:iCs/>
                <w:lang w:val="en-US"/>
              </w:rPr>
            </w:pPr>
            <w:r>
              <w:rPr>
                <w:rFonts w:eastAsia="Calibri" w:cs="Times New Roman"/>
                <w:i/>
                <w:iCs/>
                <w:kern w:val="2"/>
                <w:sz w:val="20"/>
                <w:szCs w:val="20"/>
                <w:lang w:val="en-US" w:eastAsia="en-US" w:bidi="ar-SA"/>
              </w:rPr>
              <w:t>Classification of recommendation: Weak</w:t>
            </w:r>
          </w:p>
          <w:p>
            <w:pPr>
              <w:pStyle w:val="Normal"/>
              <w:widowControl/>
              <w:bidi w:val="0"/>
              <w:spacing w:lineRule="auto" w:line="360" w:before="0" w:after="0"/>
              <w:jc w:val="start"/>
              <w:rPr>
                <w:i/>
                <w:i/>
                <w:iCs/>
                <w:lang w:val="en-US"/>
              </w:rPr>
            </w:pPr>
            <w:r>
              <w:rPr>
                <w:rFonts w:eastAsia="Calibri" w:cs="Times New Roman"/>
                <w:i/>
                <w:iCs/>
                <w:kern w:val="2"/>
                <w:sz w:val="20"/>
                <w:szCs w:val="20"/>
                <w:lang w:val="en-US" w:eastAsia="en-US" w:bidi="ar-SA"/>
              </w:rPr>
              <w:t>Level of agreement: Strongly agree 29%, Agree 55%, Uncertain 16%</w:t>
            </w:r>
          </w:p>
        </w:tc>
        <w:tc>
          <w:tcPr>
            <w:tcW w:w="2804" w:type="dxa"/>
            <w:tcBorders/>
          </w:tcPr>
          <w:p>
            <w:pPr>
              <w:pStyle w:val="Normal"/>
              <w:widowControl/>
              <w:bidi w:val="0"/>
              <w:spacing w:lineRule="auto" w:line="360" w:before="0" w:after="0"/>
              <w:jc w:val="start"/>
              <w:rPr>
                <w:i/>
                <w:i/>
                <w:iCs/>
                <w:lang w:val="en-US"/>
              </w:rPr>
            </w:pPr>
            <w:r>
              <w:rPr>
                <w:rFonts w:eastAsia="Calibri" w:cs="Times New Roman"/>
                <w:i/>
                <w:iCs/>
                <w:kern w:val="2"/>
                <w:sz w:val="20"/>
                <w:szCs w:val="20"/>
                <w:lang w:val="en-US" w:eastAsia="en-US" w:bidi="ar-SA"/>
              </w:rPr>
              <w:t>Determination of NUDT15 Genotypes Before</w:t>
            </w:r>
          </w:p>
          <w:p>
            <w:pPr>
              <w:pStyle w:val="Normal"/>
              <w:widowControl/>
              <w:bidi w:val="0"/>
              <w:spacing w:lineRule="auto" w:line="360" w:before="0" w:after="0"/>
              <w:jc w:val="start"/>
              <w:rPr>
                <w:i/>
                <w:i/>
                <w:iCs/>
                <w:lang w:val="en-US"/>
              </w:rPr>
            </w:pPr>
            <w:r>
              <w:rPr>
                <w:rFonts w:eastAsia="Calibri" w:cs="Times New Roman"/>
                <w:i/>
                <w:iCs/>
                <w:kern w:val="2"/>
                <w:sz w:val="20"/>
                <w:szCs w:val="20"/>
                <w:lang w:val="en-US" w:eastAsia="en-US" w:bidi="ar-SA"/>
              </w:rPr>
              <w:t>Initiating Thiopurine Therapy May Identify Patients With a Predisposition to the Development of Thiopurine-Induced Early Leukopenia.</w:t>
            </w:r>
          </w:p>
          <w:p>
            <w:pPr>
              <w:pStyle w:val="Normal"/>
              <w:widowControl/>
              <w:bidi w:val="0"/>
              <w:spacing w:lineRule="auto" w:line="360" w:before="0" w:after="0"/>
              <w:jc w:val="start"/>
              <w:rPr>
                <w:i/>
                <w:i/>
                <w:iCs/>
                <w:lang w:val="en-US"/>
              </w:rPr>
            </w:pPr>
            <w:r>
              <w:rPr>
                <w:rFonts w:eastAsia="Calibri" w:cs="Times New Roman"/>
                <w:i/>
                <w:iCs/>
                <w:kern w:val="2"/>
                <w:sz w:val="20"/>
                <w:szCs w:val="20"/>
                <w:lang w:val="en-US" w:eastAsia="en-US" w:bidi="ar-SA"/>
              </w:rPr>
              <w:t>Quality of evidence: Moderate</w:t>
            </w:r>
          </w:p>
          <w:p>
            <w:pPr>
              <w:pStyle w:val="Normal"/>
              <w:widowControl/>
              <w:bidi w:val="0"/>
              <w:spacing w:lineRule="auto" w:line="360" w:before="0" w:after="0"/>
              <w:jc w:val="start"/>
              <w:rPr>
                <w:i/>
                <w:i/>
                <w:iCs/>
                <w:lang w:val="en-US"/>
              </w:rPr>
            </w:pPr>
            <w:r>
              <w:rPr>
                <w:rFonts w:eastAsia="Calibri" w:cs="Times New Roman"/>
                <w:i/>
                <w:iCs/>
                <w:kern w:val="2"/>
                <w:sz w:val="20"/>
                <w:szCs w:val="20"/>
                <w:lang w:val="en-US" w:eastAsia="en-US" w:bidi="ar-SA"/>
              </w:rPr>
              <w:t>Classification of recommendation: Strong</w:t>
            </w:r>
          </w:p>
          <w:p>
            <w:pPr>
              <w:pStyle w:val="Normal"/>
              <w:widowControl/>
              <w:bidi w:val="0"/>
              <w:spacing w:lineRule="auto" w:line="360" w:before="0" w:after="0"/>
              <w:jc w:val="start"/>
              <w:rPr>
                <w:i/>
                <w:i/>
                <w:iCs/>
                <w:lang w:val="en-US"/>
              </w:rPr>
            </w:pPr>
            <w:r>
              <w:rPr>
                <w:rFonts w:eastAsia="Calibri" w:cs="Times New Roman"/>
                <w:i/>
                <w:iCs/>
                <w:kern w:val="2"/>
                <w:sz w:val="20"/>
                <w:szCs w:val="20"/>
                <w:lang w:val="en-US" w:eastAsia="en-US" w:bidi="ar-SA"/>
              </w:rPr>
              <w:t>Level of agreement: Strongly agree 13%, Agree 76%, Uncertain 11%</w:t>
            </w:r>
          </w:p>
        </w:tc>
      </w:tr>
      <w:tr>
        <w:trPr>
          <w:trHeight w:val="350" w:hRule="atLeast"/>
        </w:trPr>
        <w:tc>
          <w:tcPr>
            <w:tcW w:w="1804" w:type="dxa"/>
            <w:tcBorders/>
          </w:tcPr>
          <w:p>
            <w:pPr>
              <w:pStyle w:val="Normal"/>
              <w:widowControl/>
              <w:bidi w:val="0"/>
              <w:spacing w:lineRule="auto" w:line="360" w:before="0" w:after="0"/>
              <w:jc w:val="start"/>
              <w:rPr>
                <w:lang w:val="en-US"/>
              </w:rPr>
            </w:pPr>
            <w:r>
              <w:rPr>
                <w:rFonts w:eastAsia="Calibri" w:cs="Times New Roman"/>
                <w:kern w:val="2"/>
                <w:sz w:val="20"/>
                <w:szCs w:val="20"/>
                <w:lang w:val="en-US" w:eastAsia="en-US" w:bidi="ar-SA"/>
              </w:rPr>
              <w:t>Ran et al.</w:t>
            </w:r>
            <w:r>
              <w:fldChar w:fldCharType="begin"/>
            </w:r>
            <w:r>
              <w:rPr>
                <w:sz w:val="20"/>
                <w:kern w:val="2"/>
                <w:szCs w:val="20"/>
                <w:rFonts w:eastAsia="Calibri" w:cs="Times New Roman"/>
                <w:lang w:val="en-US" w:eastAsia="en-US" w:bidi="ar-SA"/>
              </w:rPr>
              <w:instrText xml:space="preserve">ADDIN EN.CITE</w:instrText>
            </w:r>
            <w:r>
              <w:rPr>
                <w:rFonts w:eastAsia="Calibri" w:cs="Times New Roman"/>
                <w:kern w:val="2"/>
                <w:sz w:val="20"/>
                <w:szCs w:val="20"/>
                <w:lang w:val="en-US" w:eastAsia="en-US" w:bidi="ar-SA"/>
              </w:rPr>
            </w:r>
            <w:r>
              <w:fldChar w:fldCharType="begin"/>
            </w:r>
            <w:r>
              <w:rPr>
                <w:sz w:val="20"/>
                <w:kern w:val="2"/>
                <w:szCs w:val="20"/>
                <w:rFonts w:eastAsia="Calibri" w:cs="Times New Roman"/>
                <w:lang w:val="en-US" w:eastAsia="en-US" w:bidi="ar-SA"/>
              </w:rPr>
              <w:instrText xml:space="preserve">ADDIN EN.CITE.DATA</w:instrText>
            </w:r>
            <w:r>
              <w:rPr>
                <w:rFonts w:eastAsia="Calibri" w:cs="Times New Roman"/>
                <w:kern w:val="2"/>
                <w:sz w:val="20"/>
                <w:szCs w:val="20"/>
                <w:lang w:val="en-US" w:eastAsia="en-US" w:bidi="ar-SA"/>
              </w:rPr>
            </w:r>
            <w:r>
              <w:rPr>
                <w:sz w:val="20"/>
                <w:kern w:val="2"/>
                <w:szCs w:val="20"/>
                <w:rFonts w:eastAsia="Calibri" w:cs="Times New Roman"/>
                <w:lang w:val="en-US" w:eastAsia="en-US" w:bidi="ar-SA"/>
              </w:rPr>
              <w:fldChar w:fldCharType="separate"/>
            </w:r>
            <w:r>
              <w:rPr>
                <w:rFonts w:eastAsia="Calibri" w:cs="Times New Roman"/>
                <w:kern w:val="2"/>
                <w:sz w:val="20"/>
                <w:szCs w:val="20"/>
                <w:lang w:val="en-US" w:eastAsia="en-US" w:bidi="ar-SA"/>
              </w:rPr>
            </w:r>
            <w:r>
              <w:rPr>
                <w:rFonts w:eastAsia="Calibri" w:cs="Times New Roman"/>
                <w:kern w:val="2"/>
                <w:sz w:val="20"/>
                <w:szCs w:val="20"/>
                <w:lang w:val="en-US" w:eastAsia="en-US" w:bidi="ar-SA"/>
              </w:rPr>
            </w:r>
            <w:r>
              <w:rPr>
                <w:sz w:val="20"/>
                <w:kern w:val="2"/>
                <w:szCs w:val="20"/>
                <w:rFonts w:eastAsia="Calibri" w:cs="Times New Roman"/>
                <w:lang w:val="en-US" w:eastAsia="en-US" w:bidi="ar-SA"/>
              </w:rPr>
              <w:fldChar w:fldCharType="end"/>
            </w:r>
            <w:r>
              <w:rPr>
                <w:sz w:val="20"/>
                <w:kern w:val="2"/>
                <w:szCs w:val="20"/>
                <w:rFonts w:eastAsia="Calibri" w:cs="Times New Roman"/>
                <w:lang w:val="en-US" w:eastAsia="en-US" w:bidi="ar-SA"/>
              </w:rPr>
              <w:fldChar w:fldCharType="separate"/>
            </w:r>
            <w:r>
              <w:rPr>
                <w:rFonts w:eastAsia="Calibri" w:cs="Times New Roman"/>
                <w:kern w:val="2"/>
                <w:sz w:val="20"/>
                <w:szCs w:val="20"/>
                <w:lang w:val="en-US" w:eastAsia="en-US" w:bidi="ar-SA"/>
              </w:rPr>
            </w:r>
            <w:r>
              <w:rPr>
                <w:rFonts w:eastAsia="Calibri" w:cs="Times New Roman"/>
                <w:kern w:val="2"/>
                <w:sz w:val="20"/>
                <w:szCs w:val="20"/>
                <w:vertAlign w:val="superscript"/>
                <w:lang w:val="en-US" w:eastAsia="en-US" w:bidi="ar-SA"/>
              </w:rPr>
              <w:t>26</w:t>
            </w:r>
            <w:r/>
            <w:r>
              <w:rPr>
                <w:sz w:val="20"/>
                <w:kern w:val="2"/>
                <w:szCs w:val="20"/>
                <w:rFonts w:eastAsia="Calibri" w:cs="Times New Roman"/>
                <w:lang w:val="en-US" w:eastAsia="en-US" w:bidi="ar-SA"/>
              </w:rPr>
              <w:fldChar w:fldCharType="end"/>
            </w:r>
            <w:r>
              <w:rPr>
                <w:rFonts w:eastAsia="Calibri" w:cs="Times New Roman"/>
                <w:kern w:val="2"/>
                <w:sz w:val="20"/>
                <w:szCs w:val="20"/>
                <w:lang w:val="en-US" w:eastAsia="en-US" w:bidi="ar-SA"/>
              </w:rPr>
            </w:r>
          </w:p>
        </w:tc>
        <w:tc>
          <w:tcPr>
            <w:tcW w:w="5562" w:type="dxa"/>
            <w:tcBorders/>
          </w:tcPr>
          <w:p>
            <w:pPr>
              <w:pStyle w:val="Normal"/>
              <w:widowControl/>
              <w:bidi w:val="0"/>
              <w:spacing w:lineRule="auto" w:line="360" w:before="0" w:after="0"/>
              <w:jc w:val="start"/>
              <w:rPr>
                <w:lang w:val="en-US"/>
              </w:rPr>
            </w:pPr>
            <w:r>
              <w:rPr>
                <w:rFonts w:eastAsia="Calibri" w:cs="Times New Roman"/>
                <w:kern w:val="2"/>
                <w:sz w:val="20"/>
                <w:szCs w:val="20"/>
                <w:lang w:val="en-US" w:eastAsia="en-US" w:bidi="ar-SA"/>
              </w:rPr>
              <w:t>Not mentioned.</w:t>
            </w:r>
          </w:p>
        </w:tc>
        <w:tc>
          <w:tcPr>
            <w:tcW w:w="4678" w:type="dxa"/>
            <w:tcBorders/>
          </w:tcPr>
          <w:p>
            <w:pPr>
              <w:pStyle w:val="Normal"/>
              <w:widowControl/>
              <w:bidi w:val="0"/>
              <w:spacing w:lineRule="auto" w:line="360" w:before="0" w:after="0"/>
              <w:jc w:val="start"/>
              <w:rPr>
                <w:i/>
                <w:i/>
                <w:iCs/>
                <w:lang w:val="en-US"/>
              </w:rPr>
            </w:pPr>
            <w:r>
              <w:rPr>
                <w:rFonts w:eastAsia="Calibri" w:cs="Times New Roman"/>
                <w:i/>
                <w:iCs/>
                <w:kern w:val="2"/>
                <w:sz w:val="20"/>
                <w:szCs w:val="20"/>
                <w:lang w:val="en-US" w:eastAsia="en-US" w:bidi="ar-SA"/>
              </w:rPr>
              <w:t xml:space="preserve">Eight statements were rejected as this indicated that consensus had not been reached. The statement “IBD patients should receive TPMT and NUDT15 polymorphism test before thiopurine treatment” was rejected. </w:t>
            </w:r>
          </w:p>
        </w:tc>
        <w:tc>
          <w:tcPr>
            <w:tcW w:w="2804" w:type="dxa"/>
            <w:tcBorders/>
          </w:tcPr>
          <w:p>
            <w:pPr>
              <w:pStyle w:val="Normal"/>
              <w:widowControl/>
              <w:bidi w:val="0"/>
              <w:spacing w:lineRule="auto" w:line="360" w:before="0" w:after="0"/>
              <w:jc w:val="start"/>
              <w:rPr>
                <w:i/>
                <w:i/>
                <w:iCs/>
                <w:lang w:val="en-US"/>
              </w:rPr>
            </w:pPr>
            <w:r>
              <w:rPr>
                <w:rFonts w:eastAsia="Calibri" w:cs="Times New Roman"/>
                <w:i/>
                <w:iCs/>
                <w:kern w:val="2"/>
                <w:sz w:val="20"/>
                <w:szCs w:val="20"/>
                <w:lang w:val="en-US" w:eastAsia="en-US" w:bidi="ar-SA"/>
              </w:rPr>
              <w:t>In Asian patients, it is strongly recommended to detect the NUDT15 genotype rather than TPMT before initiating thiopurine therapy.</w:t>
            </w:r>
          </w:p>
        </w:tc>
      </w:tr>
      <w:tr>
        <w:trPr>
          <w:trHeight w:val="364" w:hRule="atLeast"/>
        </w:trPr>
        <w:tc>
          <w:tcPr>
            <w:tcW w:w="1804" w:type="dxa"/>
            <w:tcBorders/>
          </w:tcPr>
          <w:p>
            <w:pPr>
              <w:pStyle w:val="Normal"/>
              <w:widowControl/>
              <w:bidi w:val="0"/>
              <w:spacing w:lineRule="auto" w:line="360" w:before="0" w:after="0"/>
              <w:jc w:val="start"/>
              <w:rPr>
                <w:lang w:val="en-US"/>
              </w:rPr>
            </w:pPr>
            <w:r>
              <w:rPr>
                <w:rFonts w:eastAsia="Calibri" w:cs="Times New Roman"/>
                <w:kern w:val="2"/>
                <w:sz w:val="20"/>
                <w:szCs w:val="20"/>
                <w:lang w:val="en-US" w:eastAsia="en-US" w:bidi="ar-SA"/>
              </w:rPr>
              <w:t>Ooi et al.</w:t>
            </w:r>
            <w:r>
              <w:fldChar w:fldCharType="begin"/>
            </w:r>
            <w:r>
              <w:rPr>
                <w:sz w:val="20"/>
                <w:kern w:val="2"/>
                <w:szCs w:val="20"/>
                <w:rFonts w:eastAsia="Calibri" w:cs="Times New Roman"/>
                <w:lang w:val="en-US" w:eastAsia="en-US" w:bidi="ar-SA"/>
              </w:rPr>
              <w:instrText xml:space="preserve">ADDIN EN.CITE</w:instrText>
            </w:r>
            <w:r>
              <w:rPr>
                <w:rFonts w:eastAsia="Calibri" w:cs="Times New Roman"/>
                <w:kern w:val="2"/>
                <w:sz w:val="20"/>
                <w:szCs w:val="20"/>
                <w:lang w:val="en-US" w:eastAsia="en-US" w:bidi="ar-SA"/>
              </w:rPr>
            </w:r>
            <w:r>
              <w:fldChar w:fldCharType="begin"/>
            </w:r>
            <w:r>
              <w:rPr>
                <w:sz w:val="20"/>
                <w:kern w:val="2"/>
                <w:szCs w:val="20"/>
                <w:rFonts w:eastAsia="Calibri" w:cs="Times New Roman"/>
                <w:lang w:val="en-US" w:eastAsia="en-US" w:bidi="ar-SA"/>
              </w:rPr>
              <w:instrText xml:space="preserve">ADDIN EN.CITE.DATA</w:instrText>
            </w:r>
            <w:r>
              <w:rPr>
                <w:rFonts w:eastAsia="Calibri" w:cs="Times New Roman"/>
                <w:kern w:val="2"/>
                <w:sz w:val="20"/>
                <w:szCs w:val="20"/>
                <w:lang w:val="en-US" w:eastAsia="en-US" w:bidi="ar-SA"/>
              </w:rPr>
            </w:r>
            <w:r>
              <w:rPr>
                <w:sz w:val="20"/>
                <w:kern w:val="2"/>
                <w:szCs w:val="20"/>
                <w:rFonts w:eastAsia="Calibri" w:cs="Times New Roman"/>
                <w:lang w:val="en-US" w:eastAsia="en-US" w:bidi="ar-SA"/>
              </w:rPr>
              <w:fldChar w:fldCharType="separate"/>
            </w:r>
            <w:r>
              <w:rPr>
                <w:rFonts w:eastAsia="Calibri" w:cs="Times New Roman"/>
                <w:kern w:val="2"/>
                <w:sz w:val="20"/>
                <w:szCs w:val="20"/>
                <w:lang w:val="en-US" w:eastAsia="en-US" w:bidi="ar-SA"/>
              </w:rPr>
            </w:r>
            <w:r>
              <w:rPr>
                <w:rFonts w:eastAsia="Calibri" w:cs="Times New Roman"/>
                <w:kern w:val="2"/>
                <w:sz w:val="20"/>
                <w:szCs w:val="20"/>
                <w:lang w:val="en-US" w:eastAsia="en-US" w:bidi="ar-SA"/>
              </w:rPr>
            </w:r>
            <w:r>
              <w:rPr>
                <w:sz w:val="20"/>
                <w:kern w:val="2"/>
                <w:szCs w:val="20"/>
                <w:rFonts w:eastAsia="Calibri" w:cs="Times New Roman"/>
                <w:lang w:val="en-US" w:eastAsia="en-US" w:bidi="ar-SA"/>
              </w:rPr>
              <w:fldChar w:fldCharType="end"/>
            </w:r>
            <w:r>
              <w:rPr>
                <w:sz w:val="20"/>
                <w:kern w:val="2"/>
                <w:szCs w:val="20"/>
                <w:rFonts w:eastAsia="Calibri" w:cs="Times New Roman"/>
                <w:lang w:val="en-US" w:eastAsia="en-US" w:bidi="ar-SA"/>
              </w:rPr>
              <w:fldChar w:fldCharType="separate"/>
            </w:r>
            <w:r>
              <w:rPr>
                <w:rFonts w:eastAsia="Calibri" w:cs="Times New Roman"/>
                <w:kern w:val="2"/>
                <w:sz w:val="20"/>
                <w:szCs w:val="20"/>
                <w:lang w:val="en-US" w:eastAsia="en-US" w:bidi="ar-SA"/>
              </w:rPr>
            </w:r>
            <w:r>
              <w:rPr>
                <w:rFonts w:eastAsia="Calibri" w:cs="Times New Roman"/>
                <w:kern w:val="2"/>
                <w:sz w:val="20"/>
                <w:szCs w:val="20"/>
                <w:vertAlign w:val="superscript"/>
                <w:lang w:val="en-US" w:eastAsia="en-US" w:bidi="ar-SA"/>
              </w:rPr>
              <w:t>22</w:t>
            </w:r>
            <w:r/>
            <w:r>
              <w:rPr>
                <w:sz w:val="20"/>
                <w:kern w:val="2"/>
                <w:szCs w:val="20"/>
                <w:rFonts w:eastAsia="Calibri" w:cs="Times New Roman"/>
                <w:lang w:val="en-US" w:eastAsia="en-US" w:bidi="ar-SA"/>
              </w:rPr>
              <w:fldChar w:fldCharType="end"/>
            </w:r>
            <w:r>
              <w:rPr>
                <w:rFonts w:eastAsia="Calibri" w:cs="Times New Roman"/>
                <w:kern w:val="2"/>
                <w:sz w:val="20"/>
                <w:szCs w:val="20"/>
                <w:lang w:val="en-US" w:eastAsia="en-US" w:bidi="ar-SA"/>
              </w:rPr>
            </w:r>
          </w:p>
        </w:tc>
        <w:tc>
          <w:tcPr>
            <w:tcW w:w="5562" w:type="dxa"/>
            <w:tcBorders/>
          </w:tcPr>
          <w:p>
            <w:pPr>
              <w:pStyle w:val="Normal"/>
              <w:widowControl/>
              <w:bidi w:val="0"/>
              <w:spacing w:lineRule="auto" w:line="360" w:before="0" w:after="0"/>
              <w:jc w:val="start"/>
              <w:rPr>
                <w:lang w:val="en-US"/>
              </w:rPr>
            </w:pPr>
            <w:r>
              <w:rPr>
                <w:rFonts w:eastAsia="Calibri" w:cs="Times New Roman"/>
                <w:kern w:val="2"/>
                <w:sz w:val="20"/>
                <w:szCs w:val="20"/>
                <w:lang w:val="en-US" w:eastAsia="en-US" w:bidi="ar-SA"/>
              </w:rPr>
              <w:t>Not mentioned.</w:t>
            </w:r>
          </w:p>
        </w:tc>
        <w:tc>
          <w:tcPr>
            <w:tcW w:w="4678" w:type="dxa"/>
            <w:tcBorders/>
          </w:tcPr>
          <w:p>
            <w:pPr>
              <w:pStyle w:val="Normal"/>
              <w:widowControl/>
              <w:bidi w:val="0"/>
              <w:spacing w:lineRule="auto" w:line="360" w:before="0" w:after="0"/>
              <w:jc w:val="start"/>
              <w:rPr>
                <w:i/>
                <w:i/>
                <w:iCs/>
                <w:lang w:val="en-US"/>
              </w:rPr>
            </w:pPr>
            <w:r>
              <w:rPr>
                <w:rFonts w:eastAsia="Calibri" w:cs="Times New Roman"/>
                <w:i/>
                <w:iCs/>
                <w:kern w:val="2"/>
                <w:sz w:val="20"/>
                <w:szCs w:val="20"/>
                <w:lang w:val="en-US" w:eastAsia="en-US" w:bidi="ar-SA"/>
              </w:rPr>
              <w:t>Patients on thiopurines need close monitoring for myelotoxicity and hepatotoxicity. More evidence of the benefit of thiopurine methyl transferase (TPMT) testing in Asia is required before its routine use can be recommended.</w:t>
            </w:r>
          </w:p>
          <w:p>
            <w:pPr>
              <w:pStyle w:val="Normal"/>
              <w:widowControl/>
              <w:bidi w:val="0"/>
              <w:spacing w:lineRule="auto" w:line="360" w:before="0" w:after="0"/>
              <w:jc w:val="start"/>
              <w:rPr>
                <w:i/>
                <w:i/>
                <w:iCs/>
                <w:lang w:val="en-US"/>
              </w:rPr>
            </w:pPr>
            <w:r>
              <w:rPr>
                <w:rFonts w:eastAsia="Calibri" w:cs="Times New Roman"/>
                <w:i/>
                <w:iCs/>
                <w:kern w:val="2"/>
                <w:sz w:val="20"/>
                <w:szCs w:val="20"/>
                <w:lang w:val="en-US" w:eastAsia="en-US" w:bidi="ar-SA"/>
              </w:rPr>
              <w:t>Level of agreement: a—74%, b—26%, c—0%, d—0%, e—0%</w:t>
            </w:r>
          </w:p>
          <w:p>
            <w:pPr>
              <w:pStyle w:val="Normal"/>
              <w:widowControl/>
              <w:bidi w:val="0"/>
              <w:spacing w:lineRule="auto" w:line="360" w:before="0" w:after="0"/>
              <w:jc w:val="start"/>
              <w:rPr>
                <w:i/>
                <w:i/>
                <w:iCs/>
                <w:lang w:val="en-US"/>
              </w:rPr>
            </w:pPr>
            <w:r>
              <w:rPr>
                <w:rFonts w:eastAsia="Calibri" w:cs="Times New Roman"/>
                <w:i/>
                <w:iCs/>
                <w:kern w:val="2"/>
                <w:sz w:val="20"/>
                <w:szCs w:val="20"/>
                <w:lang w:val="en-US" w:eastAsia="en-US" w:bidi="ar-SA"/>
              </w:rPr>
              <w:t>Quality of evidence: III</w:t>
            </w:r>
          </w:p>
          <w:p>
            <w:pPr>
              <w:pStyle w:val="Normal"/>
              <w:widowControl/>
              <w:bidi w:val="0"/>
              <w:spacing w:lineRule="auto" w:line="360" w:before="0" w:after="0"/>
              <w:jc w:val="start"/>
              <w:rPr>
                <w:i/>
                <w:i/>
                <w:iCs/>
                <w:lang w:val="en-US"/>
              </w:rPr>
            </w:pPr>
            <w:r>
              <w:rPr>
                <w:rFonts w:eastAsia="Calibri" w:cs="Times New Roman"/>
                <w:i/>
                <w:iCs/>
                <w:kern w:val="2"/>
                <w:sz w:val="20"/>
                <w:szCs w:val="20"/>
                <w:lang w:val="en-US" w:eastAsia="en-US" w:bidi="ar-SA"/>
              </w:rPr>
              <w:t>Classification of recommendation: C</w:t>
            </w:r>
          </w:p>
        </w:tc>
        <w:tc>
          <w:tcPr>
            <w:tcW w:w="2804" w:type="dxa"/>
            <w:tcBorders/>
          </w:tcPr>
          <w:p>
            <w:pPr>
              <w:pStyle w:val="Normal"/>
              <w:widowControl/>
              <w:bidi w:val="0"/>
              <w:spacing w:lineRule="auto" w:line="360" w:before="0" w:after="0"/>
              <w:jc w:val="start"/>
              <w:rPr>
                <w:lang w:val="en-US"/>
              </w:rPr>
            </w:pPr>
            <w:r>
              <w:rPr>
                <w:rFonts w:eastAsia="Calibri" w:cs="Times New Roman"/>
                <w:kern w:val="2"/>
                <w:sz w:val="20"/>
                <w:szCs w:val="20"/>
                <w:lang w:val="en-US" w:eastAsia="en-US" w:bidi="ar-SA"/>
              </w:rPr>
              <w:t>Not mentioned.</w:t>
            </w:r>
          </w:p>
        </w:tc>
      </w:tr>
      <w:tr>
        <w:trPr>
          <w:trHeight w:val="350" w:hRule="atLeast"/>
        </w:trPr>
        <w:tc>
          <w:tcPr>
            <w:tcW w:w="1804" w:type="dxa"/>
            <w:tcBorders/>
          </w:tcPr>
          <w:p>
            <w:pPr>
              <w:pStyle w:val="Normal"/>
              <w:widowControl/>
              <w:bidi w:val="0"/>
              <w:spacing w:lineRule="auto" w:line="360" w:before="0" w:after="0"/>
              <w:jc w:val="start"/>
              <w:rPr>
                <w:lang w:val="en-US"/>
              </w:rPr>
            </w:pPr>
            <w:r>
              <w:rPr>
                <w:rFonts w:eastAsia="Calibri" w:cs="Times New Roman"/>
                <w:kern w:val="2"/>
                <w:sz w:val="20"/>
                <w:szCs w:val="20"/>
                <w:lang w:val="en-US" w:eastAsia="en-US" w:bidi="ar-SA"/>
              </w:rPr>
              <w:t>Ooi et al.</w:t>
            </w:r>
            <w:r>
              <w:fldChar w:fldCharType="begin"/>
            </w:r>
            <w:r>
              <w:rPr>
                <w:sz w:val="20"/>
                <w:kern w:val="2"/>
                <w:szCs w:val="20"/>
                <w:rFonts w:eastAsia="Calibri" w:cs="Times New Roman"/>
                <w:lang w:val="en-US" w:eastAsia="en-US" w:bidi="ar-SA"/>
              </w:rPr>
              <w:instrText xml:space="preserve">ADDIN EN.CITE</w:instrText>
            </w:r>
            <w:r>
              <w:rPr>
                <w:rFonts w:eastAsia="Calibri" w:cs="Times New Roman"/>
                <w:kern w:val="2"/>
                <w:sz w:val="20"/>
                <w:szCs w:val="20"/>
                <w:lang w:val="en-US" w:eastAsia="en-US" w:bidi="ar-SA"/>
              </w:rPr>
            </w:r>
            <w:r>
              <w:fldChar w:fldCharType="begin"/>
            </w:r>
            <w:r>
              <w:rPr>
                <w:sz w:val="20"/>
                <w:kern w:val="2"/>
                <w:szCs w:val="20"/>
                <w:rFonts w:eastAsia="Calibri" w:cs="Times New Roman"/>
                <w:lang w:val="en-US" w:eastAsia="en-US" w:bidi="ar-SA"/>
              </w:rPr>
              <w:instrText xml:space="preserve">ADDIN EN.CITE.DATA</w:instrText>
            </w:r>
            <w:r>
              <w:rPr>
                <w:rFonts w:eastAsia="Calibri" w:cs="Times New Roman"/>
                <w:kern w:val="2"/>
                <w:sz w:val="20"/>
                <w:szCs w:val="20"/>
                <w:lang w:val="en-US" w:eastAsia="en-US" w:bidi="ar-SA"/>
              </w:rPr>
            </w:r>
            <w:r>
              <w:rPr>
                <w:sz w:val="20"/>
                <w:kern w:val="2"/>
                <w:szCs w:val="20"/>
                <w:rFonts w:eastAsia="Calibri" w:cs="Times New Roman"/>
                <w:lang w:val="en-US" w:eastAsia="en-US" w:bidi="ar-SA"/>
              </w:rPr>
              <w:fldChar w:fldCharType="separate"/>
            </w:r>
            <w:r>
              <w:rPr>
                <w:rFonts w:eastAsia="Calibri" w:cs="Times New Roman"/>
                <w:kern w:val="2"/>
                <w:sz w:val="20"/>
                <w:szCs w:val="20"/>
                <w:lang w:val="en-US" w:eastAsia="en-US" w:bidi="ar-SA"/>
              </w:rPr>
            </w:r>
            <w:r>
              <w:rPr>
                <w:rFonts w:eastAsia="Calibri" w:cs="Times New Roman"/>
                <w:kern w:val="2"/>
                <w:sz w:val="20"/>
                <w:szCs w:val="20"/>
                <w:lang w:val="en-US" w:eastAsia="en-US" w:bidi="ar-SA"/>
              </w:rPr>
            </w:r>
            <w:r>
              <w:rPr>
                <w:sz w:val="20"/>
                <w:kern w:val="2"/>
                <w:szCs w:val="20"/>
                <w:rFonts w:eastAsia="Calibri" w:cs="Times New Roman"/>
                <w:lang w:val="en-US" w:eastAsia="en-US" w:bidi="ar-SA"/>
              </w:rPr>
              <w:fldChar w:fldCharType="end"/>
            </w:r>
            <w:r>
              <w:rPr>
                <w:sz w:val="20"/>
                <w:kern w:val="2"/>
                <w:szCs w:val="20"/>
                <w:rFonts w:eastAsia="Calibri" w:cs="Times New Roman"/>
                <w:lang w:val="en-US" w:eastAsia="en-US" w:bidi="ar-SA"/>
              </w:rPr>
              <w:fldChar w:fldCharType="separate"/>
            </w:r>
            <w:r>
              <w:rPr>
                <w:rFonts w:eastAsia="Calibri" w:cs="Times New Roman"/>
                <w:kern w:val="2"/>
                <w:sz w:val="20"/>
                <w:szCs w:val="20"/>
                <w:lang w:val="en-US" w:eastAsia="en-US" w:bidi="ar-SA"/>
              </w:rPr>
            </w:r>
            <w:r>
              <w:rPr>
                <w:rFonts w:eastAsia="Calibri" w:cs="Times New Roman"/>
                <w:kern w:val="2"/>
                <w:sz w:val="20"/>
                <w:szCs w:val="20"/>
                <w:vertAlign w:val="superscript"/>
                <w:lang w:val="en-US" w:eastAsia="en-US" w:bidi="ar-SA"/>
              </w:rPr>
              <w:t>16</w:t>
            </w:r>
            <w:r/>
            <w:r>
              <w:rPr>
                <w:sz w:val="20"/>
                <w:kern w:val="2"/>
                <w:szCs w:val="20"/>
                <w:rFonts w:eastAsia="Calibri" w:cs="Times New Roman"/>
                <w:lang w:val="en-US" w:eastAsia="en-US" w:bidi="ar-SA"/>
              </w:rPr>
              <w:fldChar w:fldCharType="end"/>
            </w:r>
            <w:r>
              <w:rPr>
                <w:rFonts w:eastAsia="Calibri" w:cs="Times New Roman"/>
                <w:kern w:val="2"/>
                <w:sz w:val="20"/>
                <w:szCs w:val="20"/>
                <w:lang w:val="en-US" w:eastAsia="en-US" w:bidi="ar-SA"/>
              </w:rPr>
            </w:r>
          </w:p>
        </w:tc>
        <w:tc>
          <w:tcPr>
            <w:tcW w:w="5562" w:type="dxa"/>
            <w:tcBorders/>
          </w:tcPr>
          <w:p>
            <w:pPr>
              <w:pStyle w:val="Normal"/>
              <w:widowControl/>
              <w:bidi w:val="0"/>
              <w:spacing w:lineRule="auto" w:line="360" w:before="0" w:after="0"/>
              <w:jc w:val="start"/>
              <w:rPr>
                <w:i/>
                <w:i/>
                <w:iCs/>
                <w:lang w:val="en-US"/>
              </w:rPr>
            </w:pPr>
            <w:r>
              <w:rPr>
                <w:rFonts w:eastAsia="Calibri" w:cs="Times New Roman"/>
                <w:i/>
                <w:iCs/>
                <w:kern w:val="2"/>
                <w:sz w:val="20"/>
                <w:szCs w:val="20"/>
                <w:lang w:val="en-US" w:eastAsia="en-US" w:bidi="ar-SA"/>
              </w:rPr>
              <w:t>Thiopurine metabolite testing for 6-thioguanine and 6-methylmercaptopurine may assist dose optimization of AZA/6-MP to avoid drug-induced toxicity.</w:t>
            </w:r>
          </w:p>
          <w:p>
            <w:pPr>
              <w:pStyle w:val="Normal"/>
              <w:widowControl/>
              <w:bidi w:val="0"/>
              <w:spacing w:lineRule="auto" w:line="360" w:before="0" w:after="0"/>
              <w:jc w:val="start"/>
              <w:rPr>
                <w:i/>
                <w:i/>
                <w:iCs/>
                <w:lang w:val="en-US"/>
              </w:rPr>
            </w:pPr>
            <w:r>
              <w:rPr>
                <w:rFonts w:eastAsia="Calibri" w:cs="Times New Roman"/>
                <w:i/>
                <w:iCs/>
                <w:kern w:val="2"/>
                <w:sz w:val="20"/>
                <w:szCs w:val="20"/>
                <w:lang w:val="en-US" w:eastAsia="en-US" w:bidi="ar-SA"/>
              </w:rPr>
              <w:t>Lower starting doses in Asian compared to Caucasian populations, along with close monitoring of complete blood count and liver function, are recommended.</w:t>
            </w:r>
          </w:p>
        </w:tc>
        <w:tc>
          <w:tcPr>
            <w:tcW w:w="4678" w:type="dxa"/>
            <w:tcBorders/>
          </w:tcPr>
          <w:p>
            <w:pPr>
              <w:pStyle w:val="Normal"/>
              <w:widowControl/>
              <w:bidi w:val="0"/>
              <w:spacing w:lineRule="auto" w:line="360" w:before="0" w:after="0"/>
              <w:jc w:val="start"/>
              <w:rPr>
                <w:i/>
                <w:i/>
                <w:iCs/>
                <w:lang w:val="en-US"/>
              </w:rPr>
            </w:pPr>
            <w:r>
              <w:rPr>
                <w:rFonts w:eastAsia="Calibri" w:cs="Times New Roman"/>
                <w:i/>
                <w:iCs/>
                <w:kern w:val="2"/>
                <w:sz w:val="20"/>
                <w:szCs w:val="20"/>
                <w:lang w:val="en-US" w:eastAsia="en-US" w:bidi="ar-SA"/>
              </w:rPr>
              <w:t>Where available, TPMT may assist dose optimization of AZA/6-MP to avoid drug-induced toxicity.</w:t>
            </w:r>
          </w:p>
        </w:tc>
        <w:tc>
          <w:tcPr>
            <w:tcW w:w="2804" w:type="dxa"/>
            <w:tcBorders/>
          </w:tcPr>
          <w:p>
            <w:pPr>
              <w:pStyle w:val="Normal"/>
              <w:widowControl/>
              <w:bidi w:val="0"/>
              <w:spacing w:lineRule="auto" w:line="360" w:before="0" w:after="0"/>
              <w:jc w:val="start"/>
              <w:rPr>
                <w:lang w:val="en-US"/>
              </w:rPr>
            </w:pPr>
            <w:r>
              <w:rPr>
                <w:rFonts w:eastAsia="Calibri" w:cs="Times New Roman"/>
                <w:kern w:val="2"/>
                <w:sz w:val="20"/>
                <w:szCs w:val="20"/>
                <w:lang w:val="en-US" w:eastAsia="en-US" w:bidi="ar-SA"/>
              </w:rPr>
              <w:t>Not mentioned.</w:t>
            </w:r>
          </w:p>
        </w:tc>
      </w:tr>
      <w:tr>
        <w:trPr>
          <w:trHeight w:val="350" w:hRule="atLeast"/>
        </w:trPr>
        <w:tc>
          <w:tcPr>
            <w:tcW w:w="1804" w:type="dxa"/>
            <w:tcBorders/>
          </w:tcPr>
          <w:p>
            <w:pPr>
              <w:pStyle w:val="Normal"/>
              <w:widowControl/>
              <w:bidi w:val="0"/>
              <w:spacing w:lineRule="auto" w:line="360" w:before="0" w:after="0"/>
              <w:jc w:val="start"/>
              <w:rPr>
                <w:lang w:val="en-US"/>
              </w:rPr>
            </w:pPr>
            <w:r>
              <w:rPr>
                <w:rFonts w:eastAsia="Calibri" w:cs="Times New Roman"/>
                <w:kern w:val="2"/>
                <w:sz w:val="20"/>
                <w:szCs w:val="20"/>
                <w:lang w:val="en-US" w:eastAsia="en-US" w:bidi="ar-SA"/>
              </w:rPr>
              <w:t>Khan et al.</w:t>
            </w:r>
            <w:r>
              <w:fldChar w:fldCharType="begin"/>
            </w:r>
            <w:r>
              <w:rPr>
                <w:sz w:val="20"/>
                <w:kern w:val="2"/>
                <w:szCs w:val="20"/>
                <w:rFonts w:eastAsia="Calibri" w:cs="Times New Roman"/>
                <w:lang w:val="en-US" w:eastAsia="en-US" w:bidi="ar-SA"/>
              </w:rPr>
              <w:instrText xml:space="preserve">ADDIN EN.CITE</w:instrText>
            </w:r>
            <w:r>
              <w:rPr>
                <w:rFonts w:eastAsia="Calibri" w:cs="Times New Roman"/>
                <w:kern w:val="2"/>
                <w:sz w:val="20"/>
                <w:szCs w:val="20"/>
                <w:lang w:val="en-US" w:eastAsia="en-US" w:bidi="ar-SA"/>
              </w:rPr>
            </w:r>
            <w:r>
              <w:fldChar w:fldCharType="begin"/>
            </w:r>
            <w:r>
              <w:rPr>
                <w:sz w:val="20"/>
                <w:kern w:val="2"/>
                <w:szCs w:val="20"/>
                <w:rFonts w:eastAsia="Calibri" w:cs="Times New Roman"/>
                <w:lang w:val="en-US" w:eastAsia="en-US" w:bidi="ar-SA"/>
              </w:rPr>
              <w:instrText xml:space="preserve">ADDIN EN.CITE.DATA</w:instrText>
            </w:r>
            <w:r>
              <w:rPr>
                <w:rFonts w:eastAsia="Calibri" w:cs="Times New Roman"/>
                <w:kern w:val="2"/>
                <w:sz w:val="20"/>
                <w:szCs w:val="20"/>
                <w:lang w:val="en-US" w:eastAsia="en-US" w:bidi="ar-SA"/>
              </w:rPr>
            </w:r>
            <w:r>
              <w:rPr>
                <w:sz w:val="20"/>
                <w:kern w:val="2"/>
                <w:szCs w:val="20"/>
                <w:rFonts w:eastAsia="Calibri" w:cs="Times New Roman"/>
                <w:lang w:val="en-US" w:eastAsia="en-US" w:bidi="ar-SA"/>
              </w:rPr>
              <w:fldChar w:fldCharType="separate"/>
            </w:r>
            <w:r>
              <w:rPr>
                <w:rFonts w:eastAsia="Calibri" w:cs="Times New Roman"/>
                <w:kern w:val="2"/>
                <w:sz w:val="20"/>
                <w:szCs w:val="20"/>
                <w:lang w:val="en-US" w:eastAsia="en-US" w:bidi="ar-SA"/>
              </w:rPr>
            </w:r>
            <w:r>
              <w:rPr>
                <w:rFonts w:eastAsia="Calibri" w:cs="Times New Roman"/>
                <w:kern w:val="2"/>
                <w:sz w:val="20"/>
                <w:szCs w:val="20"/>
                <w:lang w:val="en-US" w:eastAsia="en-US" w:bidi="ar-SA"/>
              </w:rPr>
            </w:r>
            <w:r>
              <w:rPr>
                <w:sz w:val="20"/>
                <w:kern w:val="2"/>
                <w:szCs w:val="20"/>
                <w:rFonts w:eastAsia="Calibri" w:cs="Times New Roman"/>
                <w:lang w:val="en-US" w:eastAsia="en-US" w:bidi="ar-SA"/>
              </w:rPr>
              <w:fldChar w:fldCharType="end"/>
            </w:r>
            <w:r>
              <w:rPr>
                <w:sz w:val="20"/>
                <w:kern w:val="2"/>
                <w:szCs w:val="20"/>
                <w:rFonts w:eastAsia="Calibri" w:cs="Times New Roman"/>
                <w:lang w:val="en-US" w:eastAsia="en-US" w:bidi="ar-SA"/>
              </w:rPr>
              <w:fldChar w:fldCharType="separate"/>
            </w:r>
            <w:r>
              <w:rPr>
                <w:rFonts w:eastAsia="Calibri" w:cs="Times New Roman"/>
                <w:kern w:val="2"/>
                <w:sz w:val="20"/>
                <w:szCs w:val="20"/>
                <w:lang w:val="en-US" w:eastAsia="en-US" w:bidi="ar-SA"/>
              </w:rPr>
            </w:r>
            <w:r>
              <w:rPr>
                <w:rFonts w:eastAsia="Calibri" w:cs="Times New Roman"/>
                <w:kern w:val="2"/>
                <w:sz w:val="20"/>
                <w:szCs w:val="20"/>
                <w:vertAlign w:val="superscript"/>
                <w:lang w:val="en-US" w:eastAsia="en-US" w:bidi="ar-SA"/>
              </w:rPr>
              <w:t>15</w:t>
            </w:r>
            <w:r/>
            <w:r>
              <w:rPr>
                <w:sz w:val="20"/>
                <w:kern w:val="2"/>
                <w:szCs w:val="20"/>
                <w:rFonts w:eastAsia="Calibri" w:cs="Times New Roman"/>
                <w:lang w:val="en-US" w:eastAsia="en-US" w:bidi="ar-SA"/>
              </w:rPr>
              <w:fldChar w:fldCharType="end"/>
            </w:r>
            <w:r>
              <w:rPr>
                <w:rFonts w:eastAsia="Calibri" w:cs="Times New Roman"/>
                <w:kern w:val="2"/>
                <w:sz w:val="20"/>
                <w:szCs w:val="20"/>
                <w:lang w:val="en-US" w:eastAsia="en-US" w:bidi="ar-SA"/>
              </w:rPr>
            </w:r>
          </w:p>
        </w:tc>
        <w:tc>
          <w:tcPr>
            <w:tcW w:w="5562" w:type="dxa"/>
            <w:tcBorders/>
          </w:tcPr>
          <w:p>
            <w:pPr>
              <w:pStyle w:val="Normal"/>
              <w:widowControl/>
              <w:bidi w:val="0"/>
              <w:spacing w:lineRule="auto" w:line="360" w:before="0" w:after="0"/>
              <w:jc w:val="start"/>
              <w:rPr>
                <w:i/>
                <w:i/>
                <w:iCs/>
                <w:lang w:val="en-US"/>
              </w:rPr>
            </w:pPr>
            <w:r>
              <w:rPr>
                <w:rFonts w:eastAsia="Calibri" w:cs="Times New Roman"/>
                <w:i/>
                <w:iCs/>
                <w:kern w:val="2"/>
                <w:sz w:val="20"/>
                <w:szCs w:val="20"/>
                <w:lang w:val="en-US" w:eastAsia="en-US" w:bidi="ar-SA"/>
              </w:rPr>
              <w:t>In 90% of patients with normal TPMT</w:t>
            </w:r>
          </w:p>
          <w:p>
            <w:pPr>
              <w:pStyle w:val="Normal"/>
              <w:widowControl/>
              <w:bidi w:val="0"/>
              <w:spacing w:lineRule="auto" w:line="360" w:before="0" w:after="0"/>
              <w:jc w:val="start"/>
              <w:rPr>
                <w:i/>
                <w:i/>
                <w:iCs/>
                <w:lang w:val="en-US"/>
              </w:rPr>
            </w:pPr>
            <w:r>
              <w:rPr>
                <w:rFonts w:eastAsia="Calibri" w:cs="Times New Roman"/>
                <w:i/>
                <w:iCs/>
                <w:kern w:val="2"/>
                <w:sz w:val="20"/>
                <w:szCs w:val="20"/>
                <w:lang w:val="en-US" w:eastAsia="en-US" w:bidi="ar-SA"/>
              </w:rPr>
              <w:t>activity, target doses will usually be in the</w:t>
            </w:r>
          </w:p>
          <w:p>
            <w:pPr>
              <w:pStyle w:val="Normal"/>
              <w:widowControl/>
              <w:bidi w:val="0"/>
              <w:spacing w:lineRule="auto" w:line="360" w:before="0" w:after="0"/>
              <w:jc w:val="start"/>
              <w:rPr>
                <w:i/>
                <w:i/>
                <w:iCs/>
                <w:lang w:val="en-US"/>
              </w:rPr>
            </w:pPr>
            <w:r>
              <w:rPr>
                <w:rFonts w:eastAsia="Calibri" w:cs="Times New Roman"/>
                <w:i/>
                <w:iCs/>
                <w:kern w:val="2"/>
                <w:sz w:val="20"/>
                <w:szCs w:val="20"/>
                <w:lang w:val="en-US" w:eastAsia="en-US" w:bidi="ar-SA"/>
              </w:rPr>
              <w:t>order of 2–3mg/kg for AZA and 1–1.5mg/kg</w:t>
            </w:r>
          </w:p>
          <w:p>
            <w:pPr>
              <w:pStyle w:val="Normal"/>
              <w:widowControl/>
              <w:bidi w:val="0"/>
              <w:spacing w:lineRule="auto" w:line="360" w:before="0" w:after="0"/>
              <w:jc w:val="start"/>
              <w:rPr>
                <w:i/>
                <w:i/>
                <w:iCs/>
                <w:lang w:val="en-US"/>
              </w:rPr>
            </w:pPr>
            <w:r>
              <w:rPr>
                <w:rFonts w:eastAsia="Calibri" w:cs="Times New Roman"/>
                <w:i/>
                <w:iCs/>
                <w:kern w:val="2"/>
                <w:sz w:val="20"/>
                <w:szCs w:val="20"/>
                <w:lang w:val="en-US" w:eastAsia="en-US" w:bidi="ar-SA"/>
              </w:rPr>
              <w:t>for MP, with dose adjustment based on thiopurine metabolite concentrations.</w:t>
            </w:r>
          </w:p>
          <w:p>
            <w:pPr>
              <w:pStyle w:val="ListParagraph"/>
              <w:widowControl/>
              <w:numPr>
                <w:ilvl w:val="0"/>
                <w:numId w:val="2"/>
              </w:numPr>
              <w:bidi w:val="0"/>
              <w:spacing w:lineRule="auto" w:line="360" w:before="0" w:after="0"/>
              <w:jc w:val="start"/>
              <w:rPr>
                <w:i/>
                <w:i/>
                <w:iCs/>
                <w:lang w:val="en-US"/>
              </w:rPr>
            </w:pPr>
            <w:r>
              <w:rPr>
                <w:rFonts w:eastAsia="Calibri" w:cs="Times New Roman"/>
                <w:i/>
                <w:iCs/>
                <w:kern w:val="2"/>
                <w:sz w:val="20"/>
                <w:szCs w:val="20"/>
                <w:lang w:val="en-US" w:eastAsia="en-US" w:bidi="ar-SA"/>
              </w:rPr>
              <w:t>Indiscernible or negligible 6TGN and 6MMP: medication non-adherence (check adherence).</w:t>
            </w:r>
          </w:p>
          <w:p>
            <w:pPr>
              <w:pStyle w:val="ListParagraph"/>
              <w:widowControl/>
              <w:numPr>
                <w:ilvl w:val="0"/>
                <w:numId w:val="2"/>
              </w:numPr>
              <w:bidi w:val="0"/>
              <w:spacing w:lineRule="auto" w:line="360" w:before="0" w:after="0"/>
              <w:jc w:val="start"/>
              <w:rPr>
                <w:i/>
                <w:i/>
                <w:iCs/>
                <w:lang w:val="en-US"/>
              </w:rPr>
            </w:pPr>
            <w:r>
              <w:rPr>
                <w:rFonts w:eastAsia="Calibri" w:cs="Times New Roman"/>
                <w:i/>
                <w:iCs/>
                <w:kern w:val="2"/>
                <w:sz w:val="20"/>
                <w:szCs w:val="20"/>
                <w:lang w:val="en-US" w:eastAsia="en-US" w:bidi="ar-SA"/>
              </w:rPr>
              <w:t>Low 6-TGN and low 6-MMP: Underdosing or medication non-adherence (increase dose and monitor after checking adherence).</w:t>
            </w:r>
          </w:p>
          <w:p>
            <w:pPr>
              <w:pStyle w:val="ListParagraph"/>
              <w:widowControl/>
              <w:numPr>
                <w:ilvl w:val="0"/>
                <w:numId w:val="2"/>
              </w:numPr>
              <w:bidi w:val="0"/>
              <w:spacing w:lineRule="auto" w:line="360" w:before="0" w:after="0"/>
              <w:jc w:val="start"/>
              <w:rPr>
                <w:i/>
                <w:i/>
                <w:iCs/>
                <w:lang w:val="en-US"/>
              </w:rPr>
            </w:pPr>
            <w:r>
              <w:rPr>
                <w:rFonts w:eastAsia="Calibri" w:cs="Times New Roman"/>
                <w:i/>
                <w:iCs/>
                <w:kern w:val="2"/>
                <w:sz w:val="20"/>
                <w:szCs w:val="20"/>
                <w:lang w:val="en-US" w:eastAsia="en-US" w:bidi="ar-SA"/>
              </w:rPr>
              <w:t>Low 6-TGN and high 6-MMP (6-TGN:6-MMP&gt;20): Thiopurine hypermethylator or “shunter” (add allopurinol and reduce thiopurine dose to 25-33%).</w:t>
            </w:r>
          </w:p>
          <w:p>
            <w:pPr>
              <w:pStyle w:val="ListParagraph"/>
              <w:widowControl/>
              <w:numPr>
                <w:ilvl w:val="0"/>
                <w:numId w:val="2"/>
              </w:numPr>
              <w:bidi w:val="0"/>
              <w:spacing w:lineRule="auto" w:line="360" w:before="0" w:after="0"/>
              <w:jc w:val="start"/>
              <w:rPr>
                <w:i/>
                <w:i/>
                <w:iCs/>
                <w:lang w:val="en-US"/>
              </w:rPr>
            </w:pPr>
            <w:r>
              <w:rPr>
                <w:rFonts w:eastAsia="Calibri" w:cs="Times New Roman"/>
                <w:i/>
                <w:iCs/>
                <w:kern w:val="2"/>
                <w:sz w:val="20"/>
                <w:szCs w:val="20"/>
                <w:lang w:val="en-US" w:eastAsia="en-US" w:bidi="ar-SA"/>
              </w:rPr>
              <w:t>Normal 6TGN* (235-450) and 6MMP&lt;5700 pmol/8×10</w:t>
            </w:r>
            <w:r>
              <w:rPr>
                <w:rFonts w:eastAsia="Calibri" w:cs="Times New Roman"/>
                <w:i/>
                <w:iCs/>
                <w:kern w:val="2"/>
                <w:sz w:val="20"/>
                <w:szCs w:val="20"/>
                <w:vertAlign w:val="superscript"/>
                <w:lang w:val="en-US" w:eastAsia="en-US" w:bidi="ar-SA"/>
              </w:rPr>
              <w:t xml:space="preserve">8 </w:t>
            </w:r>
            <w:r>
              <w:rPr>
                <w:rFonts w:eastAsia="Calibri" w:cs="Times New Roman"/>
                <w:i/>
                <w:iCs/>
                <w:kern w:val="2"/>
                <w:sz w:val="20"/>
                <w:szCs w:val="20"/>
                <w:lang w:val="en-US" w:eastAsia="en-US" w:bidi="ar-SA"/>
              </w:rPr>
              <w:t>RBC: adequate dosing, continue therapy or escalate therapy if active IBD.</w:t>
            </w:r>
          </w:p>
          <w:p>
            <w:pPr>
              <w:pStyle w:val="ListParagraph"/>
              <w:widowControl/>
              <w:numPr>
                <w:ilvl w:val="0"/>
                <w:numId w:val="2"/>
              </w:numPr>
              <w:bidi w:val="0"/>
              <w:spacing w:lineRule="auto" w:line="360" w:before="0" w:after="0"/>
              <w:jc w:val="start"/>
              <w:rPr>
                <w:lang w:val="en-US"/>
              </w:rPr>
            </w:pPr>
            <w:r>
              <w:rPr>
                <w:rFonts w:eastAsia="Calibri" w:cs="Times New Roman"/>
                <w:i/>
                <w:iCs/>
                <w:kern w:val="2"/>
                <w:sz w:val="20"/>
                <w:szCs w:val="20"/>
                <w:lang w:val="en-US" w:eastAsia="en-US" w:bidi="ar-SA"/>
              </w:rPr>
              <w:t>High 6-TGN and high 6-MMP: increased risk of adverse events (decrease dose. Add another drug if active disease).</w:t>
            </w:r>
            <w:r>
              <w:rPr>
                <w:rFonts w:eastAsia="Calibri" w:cs="Times New Roman"/>
                <w:kern w:val="2"/>
                <w:sz w:val="20"/>
                <w:szCs w:val="20"/>
                <w:lang w:val="en-US" w:eastAsia="en-US" w:bidi="ar-SA"/>
              </w:rPr>
              <w:t xml:space="preserve"> </w:t>
            </w:r>
          </w:p>
        </w:tc>
        <w:tc>
          <w:tcPr>
            <w:tcW w:w="4678" w:type="dxa"/>
            <w:tcBorders/>
          </w:tcPr>
          <w:p>
            <w:pPr>
              <w:pStyle w:val="Normal"/>
              <w:widowControl/>
              <w:bidi w:val="0"/>
              <w:spacing w:lineRule="auto" w:line="360" w:before="0" w:after="0"/>
              <w:jc w:val="start"/>
              <w:rPr>
                <w:i/>
                <w:i/>
                <w:iCs/>
                <w:lang w:val="en-US"/>
              </w:rPr>
            </w:pPr>
            <w:r>
              <w:rPr>
                <w:rFonts w:eastAsia="Calibri" w:cs="Times New Roman"/>
                <w:i/>
                <w:iCs/>
                <w:kern w:val="2"/>
                <w:sz w:val="20"/>
                <w:szCs w:val="20"/>
                <w:lang w:val="en-US" w:eastAsia="en-US" w:bidi="ar-SA"/>
              </w:rPr>
              <w:t>Testing for TPMT enzyme activity is recommended in all patients commencing a thiopurine.</w:t>
            </w:r>
          </w:p>
          <w:p>
            <w:pPr>
              <w:pStyle w:val="Normal"/>
              <w:widowControl/>
              <w:bidi w:val="0"/>
              <w:spacing w:lineRule="auto" w:line="360" w:before="0" w:after="0"/>
              <w:jc w:val="start"/>
              <w:rPr>
                <w:i/>
                <w:i/>
                <w:iCs/>
                <w:lang w:val="en-US"/>
              </w:rPr>
            </w:pPr>
            <w:r>
              <w:rPr>
                <w:rFonts w:eastAsia="Calibri" w:cs="Times New Roman"/>
                <w:i/>
                <w:iCs/>
                <w:kern w:val="2"/>
                <w:sz w:val="20"/>
                <w:szCs w:val="20"/>
                <w:lang w:val="en-US" w:eastAsia="en-US" w:bidi="ar-SA"/>
              </w:rPr>
              <w:t>Treatment initiation with 33–50% of the</w:t>
            </w:r>
          </w:p>
          <w:p>
            <w:pPr>
              <w:pStyle w:val="Normal"/>
              <w:widowControl/>
              <w:bidi w:val="0"/>
              <w:spacing w:lineRule="auto" w:line="360" w:before="0" w:after="0"/>
              <w:jc w:val="start"/>
              <w:rPr>
                <w:i/>
                <w:i/>
                <w:iCs/>
                <w:lang w:val="en-US"/>
              </w:rPr>
            </w:pPr>
            <w:r>
              <w:rPr>
                <w:rFonts w:eastAsia="Calibri" w:cs="Times New Roman"/>
                <w:i/>
                <w:iCs/>
                <w:kern w:val="2"/>
                <w:sz w:val="20"/>
                <w:szCs w:val="20"/>
                <w:lang w:val="en-US" w:eastAsia="en-US" w:bidi="ar-SA"/>
              </w:rPr>
              <w:t>target dose is recommended in patients with intermediate TPMT enzyme activity, and at 10% of the target dose in patients with low or absent enzyme activity</w:t>
            </w:r>
          </w:p>
        </w:tc>
        <w:tc>
          <w:tcPr>
            <w:tcW w:w="2804" w:type="dxa"/>
            <w:tcBorders/>
          </w:tcPr>
          <w:p>
            <w:pPr>
              <w:pStyle w:val="Normal"/>
              <w:widowControl/>
              <w:bidi w:val="0"/>
              <w:spacing w:lineRule="auto" w:line="360" w:before="0" w:after="0"/>
              <w:jc w:val="start"/>
              <w:rPr>
                <w:lang w:val="en-US"/>
              </w:rPr>
            </w:pPr>
            <w:r>
              <w:rPr>
                <w:rFonts w:eastAsia="Calibri" w:cs="Times New Roman"/>
                <w:kern w:val="2"/>
                <w:sz w:val="20"/>
                <w:szCs w:val="20"/>
                <w:lang w:val="en-US" w:eastAsia="en-US" w:bidi="ar-SA"/>
              </w:rPr>
              <w:t>Not mentioned.</w:t>
            </w:r>
          </w:p>
        </w:tc>
      </w:tr>
      <w:tr>
        <w:trPr>
          <w:trHeight w:val="350" w:hRule="atLeast"/>
        </w:trPr>
        <w:tc>
          <w:tcPr>
            <w:tcW w:w="1804" w:type="dxa"/>
            <w:tcBorders/>
          </w:tcPr>
          <w:p>
            <w:pPr>
              <w:pStyle w:val="Normal"/>
              <w:widowControl/>
              <w:bidi w:val="0"/>
              <w:spacing w:lineRule="auto" w:line="360" w:before="0" w:after="0"/>
              <w:jc w:val="start"/>
              <w:rPr>
                <w:lang w:val="en-US"/>
              </w:rPr>
            </w:pPr>
            <w:r>
              <w:rPr>
                <w:rFonts w:eastAsia="Calibri" w:cs="Times New Roman"/>
                <w:kern w:val="2"/>
                <w:sz w:val="20"/>
                <w:szCs w:val="20"/>
                <w:lang w:val="en-US" w:eastAsia="en-US" w:bidi="ar-SA"/>
              </w:rPr>
              <w:t>Mosli et al.</w:t>
            </w:r>
            <w:r>
              <w:fldChar w:fldCharType="begin"/>
            </w:r>
            <w:r>
              <w:rPr>
                <w:sz w:val="20"/>
                <w:kern w:val="2"/>
                <w:szCs w:val="20"/>
                <w:rFonts w:eastAsia="Calibri" w:cs="Times New Roman"/>
                <w:lang w:val="en-US" w:eastAsia="en-US" w:bidi="ar-SA"/>
              </w:rPr>
              <w:instrText xml:space="preserve">ADDIN EN.CITE</w:instrText>
            </w:r>
            <w:r>
              <w:rPr>
                <w:rFonts w:eastAsia="Calibri" w:cs="Times New Roman"/>
                <w:kern w:val="2"/>
                <w:sz w:val="20"/>
                <w:szCs w:val="20"/>
                <w:lang w:val="en-US" w:eastAsia="en-US" w:bidi="ar-SA"/>
              </w:rPr>
            </w:r>
            <w:r>
              <w:fldChar w:fldCharType="begin"/>
            </w:r>
            <w:r>
              <w:rPr>
                <w:sz w:val="20"/>
                <w:kern w:val="2"/>
                <w:szCs w:val="20"/>
                <w:rFonts w:eastAsia="Calibri" w:cs="Times New Roman"/>
                <w:lang w:val="en-US" w:eastAsia="en-US" w:bidi="ar-SA"/>
              </w:rPr>
              <w:instrText xml:space="preserve">ADDIN EN.CITE.DATA</w:instrText>
            </w:r>
            <w:r>
              <w:rPr>
                <w:rFonts w:eastAsia="Calibri" w:cs="Times New Roman"/>
                <w:kern w:val="2"/>
                <w:sz w:val="20"/>
                <w:szCs w:val="20"/>
                <w:lang w:val="en-US" w:eastAsia="en-US" w:bidi="ar-SA"/>
              </w:rPr>
            </w:r>
            <w:r>
              <w:rPr>
                <w:sz w:val="20"/>
                <w:kern w:val="2"/>
                <w:szCs w:val="20"/>
                <w:rFonts w:eastAsia="Calibri" w:cs="Times New Roman"/>
                <w:lang w:val="en-US" w:eastAsia="en-US" w:bidi="ar-SA"/>
              </w:rPr>
              <w:fldChar w:fldCharType="separate"/>
            </w:r>
            <w:r>
              <w:rPr>
                <w:rFonts w:eastAsia="Calibri" w:cs="Times New Roman"/>
                <w:kern w:val="2"/>
                <w:sz w:val="20"/>
                <w:szCs w:val="20"/>
                <w:lang w:val="en-US" w:eastAsia="en-US" w:bidi="ar-SA"/>
              </w:rPr>
            </w:r>
            <w:r>
              <w:rPr>
                <w:rFonts w:eastAsia="Calibri" w:cs="Times New Roman"/>
                <w:kern w:val="2"/>
                <w:sz w:val="20"/>
                <w:szCs w:val="20"/>
                <w:lang w:val="en-US" w:eastAsia="en-US" w:bidi="ar-SA"/>
              </w:rPr>
            </w:r>
            <w:r>
              <w:rPr>
                <w:sz w:val="20"/>
                <w:kern w:val="2"/>
                <w:szCs w:val="20"/>
                <w:rFonts w:eastAsia="Calibri" w:cs="Times New Roman"/>
                <w:lang w:val="en-US" w:eastAsia="en-US" w:bidi="ar-SA"/>
              </w:rPr>
              <w:fldChar w:fldCharType="end"/>
            </w:r>
            <w:r>
              <w:rPr>
                <w:sz w:val="20"/>
                <w:kern w:val="2"/>
                <w:szCs w:val="20"/>
                <w:rFonts w:eastAsia="Calibri" w:cs="Times New Roman"/>
                <w:lang w:val="en-US" w:eastAsia="en-US" w:bidi="ar-SA"/>
              </w:rPr>
              <w:fldChar w:fldCharType="separate"/>
            </w:r>
            <w:r>
              <w:rPr>
                <w:rFonts w:eastAsia="Calibri" w:cs="Times New Roman"/>
                <w:kern w:val="2"/>
                <w:sz w:val="20"/>
                <w:szCs w:val="20"/>
                <w:lang w:val="en-US" w:eastAsia="en-US" w:bidi="ar-SA"/>
              </w:rPr>
            </w:r>
            <w:r>
              <w:rPr>
                <w:rFonts w:eastAsia="Calibri" w:cs="Times New Roman"/>
                <w:kern w:val="2"/>
                <w:sz w:val="20"/>
                <w:szCs w:val="20"/>
                <w:vertAlign w:val="superscript"/>
                <w:lang w:val="en-US" w:eastAsia="en-US" w:bidi="ar-SA"/>
              </w:rPr>
              <w:t>47</w:t>
            </w:r>
            <w:r/>
            <w:r>
              <w:rPr>
                <w:sz w:val="20"/>
                <w:kern w:val="2"/>
                <w:szCs w:val="20"/>
                <w:rFonts w:eastAsia="Calibri" w:cs="Times New Roman"/>
                <w:lang w:val="en-US" w:eastAsia="en-US" w:bidi="ar-SA"/>
              </w:rPr>
              <w:fldChar w:fldCharType="end"/>
            </w:r>
            <w:r>
              <w:rPr>
                <w:rFonts w:eastAsia="Calibri" w:cs="Times New Roman"/>
                <w:kern w:val="2"/>
                <w:sz w:val="20"/>
                <w:szCs w:val="20"/>
                <w:lang w:val="en-US" w:eastAsia="en-US" w:bidi="ar-SA"/>
              </w:rPr>
            </w:r>
          </w:p>
        </w:tc>
        <w:tc>
          <w:tcPr>
            <w:tcW w:w="5562" w:type="dxa"/>
            <w:tcBorders/>
          </w:tcPr>
          <w:p>
            <w:pPr>
              <w:pStyle w:val="Normal"/>
              <w:widowControl/>
              <w:bidi w:val="0"/>
              <w:spacing w:lineRule="auto" w:line="360" w:before="0" w:after="0"/>
              <w:jc w:val="start"/>
              <w:rPr>
                <w:i/>
                <w:i/>
                <w:iCs/>
                <w:lang w:val="en-US"/>
              </w:rPr>
            </w:pPr>
            <w:r>
              <w:rPr>
                <w:rFonts w:eastAsia="Calibri" w:cs="Times New Roman"/>
                <w:kern w:val="2"/>
                <w:sz w:val="20"/>
                <w:szCs w:val="20"/>
                <w:lang w:val="en-US" w:eastAsia="en-US" w:bidi="ar-SA"/>
              </w:rPr>
              <w:t>Not mentioned.</w:t>
            </w:r>
          </w:p>
        </w:tc>
        <w:tc>
          <w:tcPr>
            <w:tcW w:w="4678" w:type="dxa"/>
            <w:tcBorders/>
          </w:tcPr>
          <w:p>
            <w:pPr>
              <w:pStyle w:val="Normal"/>
              <w:widowControl/>
              <w:bidi w:val="0"/>
              <w:spacing w:lineRule="auto" w:line="360" w:before="0" w:after="0"/>
              <w:jc w:val="start"/>
              <w:rPr>
                <w:i/>
                <w:i/>
                <w:iCs/>
                <w:lang w:val="en-US"/>
              </w:rPr>
            </w:pPr>
            <w:r>
              <w:rPr>
                <w:rFonts w:eastAsia="Calibri" w:cs="Times New Roman"/>
                <w:kern w:val="2"/>
                <w:sz w:val="20"/>
                <w:szCs w:val="20"/>
                <w:lang w:val="en-US" w:eastAsia="en-US" w:bidi="ar-SA"/>
              </w:rPr>
              <w:t>Not mentioned.</w:t>
            </w:r>
          </w:p>
        </w:tc>
        <w:tc>
          <w:tcPr>
            <w:tcW w:w="2804" w:type="dxa"/>
            <w:tcBorders/>
          </w:tcPr>
          <w:p>
            <w:pPr>
              <w:pStyle w:val="Normal"/>
              <w:widowControl/>
              <w:bidi w:val="0"/>
              <w:spacing w:lineRule="auto" w:line="360" w:before="0" w:after="0"/>
              <w:jc w:val="start"/>
              <w:rPr>
                <w:lang w:val="en-US"/>
              </w:rPr>
            </w:pPr>
            <w:r>
              <w:rPr>
                <w:rFonts w:eastAsia="Calibri" w:cs="Times New Roman"/>
                <w:kern w:val="2"/>
                <w:sz w:val="20"/>
                <w:szCs w:val="20"/>
                <w:lang w:val="en-US" w:eastAsia="en-US" w:bidi="ar-SA"/>
              </w:rPr>
              <w:t>Not mentioned.</w:t>
            </w:r>
          </w:p>
        </w:tc>
      </w:tr>
      <w:tr>
        <w:trPr>
          <w:trHeight w:val="350" w:hRule="atLeast"/>
        </w:trPr>
        <w:tc>
          <w:tcPr>
            <w:tcW w:w="1804" w:type="dxa"/>
            <w:tcBorders/>
          </w:tcPr>
          <w:p>
            <w:pPr>
              <w:pStyle w:val="Normal"/>
              <w:widowControl/>
              <w:bidi w:val="0"/>
              <w:spacing w:lineRule="auto" w:line="360" w:before="0" w:after="0"/>
              <w:jc w:val="start"/>
              <w:rPr>
                <w:lang w:val="en-US"/>
              </w:rPr>
            </w:pPr>
            <w:r>
              <w:rPr>
                <w:rFonts w:eastAsia="Calibri" w:cs="Times New Roman"/>
                <w:kern w:val="2"/>
                <w:sz w:val="20"/>
                <w:szCs w:val="20"/>
                <w:lang w:val="en-US" w:eastAsia="en-US" w:bidi="ar-SA"/>
              </w:rPr>
              <w:t>Khoshnam-Rad et al.</w:t>
            </w:r>
            <w:r>
              <w:fldChar w:fldCharType="begin"/>
            </w:r>
            <w:r>
              <w:rPr>
                <w:sz w:val="20"/>
                <w:kern w:val="2"/>
                <w:szCs w:val="20"/>
                <w:rFonts w:eastAsia="Calibri" w:cs="Times New Roman"/>
                <w:lang w:val="en-US" w:eastAsia="en-US" w:bidi="ar-SA"/>
              </w:rPr>
              <w:instrText xml:space="preserve">ADDIN EN.CITE</w:instrText>
            </w:r>
            <w:r>
              <w:rPr>
                <w:rFonts w:eastAsia="Calibri" w:cs="Times New Roman"/>
                <w:kern w:val="2"/>
                <w:sz w:val="20"/>
                <w:szCs w:val="20"/>
                <w:lang w:val="en-US" w:eastAsia="en-US" w:bidi="ar-SA"/>
              </w:rPr>
            </w:r>
            <w:r>
              <w:fldChar w:fldCharType="begin"/>
            </w:r>
            <w:r>
              <w:rPr>
                <w:sz w:val="20"/>
                <w:kern w:val="2"/>
                <w:szCs w:val="20"/>
                <w:rFonts w:eastAsia="Calibri" w:cs="Times New Roman"/>
                <w:lang w:val="en-US" w:eastAsia="en-US" w:bidi="ar-SA"/>
              </w:rPr>
              <w:instrText xml:space="preserve">ADDIN EN.CITE.DATA</w:instrText>
            </w:r>
            <w:r>
              <w:rPr>
                <w:rFonts w:eastAsia="Calibri" w:cs="Times New Roman"/>
                <w:kern w:val="2"/>
                <w:sz w:val="20"/>
                <w:szCs w:val="20"/>
                <w:lang w:val="en-US" w:eastAsia="en-US" w:bidi="ar-SA"/>
              </w:rPr>
            </w:r>
            <w:r>
              <w:rPr>
                <w:sz w:val="20"/>
                <w:kern w:val="2"/>
                <w:szCs w:val="20"/>
                <w:rFonts w:eastAsia="Calibri" w:cs="Times New Roman"/>
                <w:lang w:val="en-US" w:eastAsia="en-US" w:bidi="ar-SA"/>
              </w:rPr>
              <w:fldChar w:fldCharType="separate"/>
            </w:r>
            <w:r>
              <w:rPr>
                <w:rFonts w:eastAsia="Calibri" w:cs="Times New Roman"/>
                <w:kern w:val="2"/>
                <w:sz w:val="20"/>
                <w:szCs w:val="20"/>
                <w:lang w:val="en-US" w:eastAsia="en-US" w:bidi="ar-SA"/>
              </w:rPr>
            </w:r>
            <w:r>
              <w:rPr>
                <w:rFonts w:eastAsia="Calibri" w:cs="Times New Roman"/>
                <w:kern w:val="2"/>
                <w:sz w:val="20"/>
                <w:szCs w:val="20"/>
                <w:lang w:val="en-US" w:eastAsia="en-US" w:bidi="ar-SA"/>
              </w:rPr>
            </w:r>
            <w:r>
              <w:rPr>
                <w:sz w:val="20"/>
                <w:kern w:val="2"/>
                <w:szCs w:val="20"/>
                <w:rFonts w:eastAsia="Calibri" w:cs="Times New Roman"/>
                <w:lang w:val="en-US" w:eastAsia="en-US" w:bidi="ar-SA"/>
              </w:rPr>
              <w:fldChar w:fldCharType="end"/>
            </w:r>
            <w:r>
              <w:rPr>
                <w:sz w:val="20"/>
                <w:kern w:val="2"/>
                <w:szCs w:val="20"/>
                <w:rFonts w:eastAsia="Calibri" w:cs="Times New Roman"/>
                <w:lang w:val="en-US" w:eastAsia="en-US" w:bidi="ar-SA"/>
              </w:rPr>
              <w:fldChar w:fldCharType="separate"/>
            </w:r>
            <w:r>
              <w:rPr>
                <w:rFonts w:eastAsia="Calibri" w:cs="Times New Roman"/>
                <w:kern w:val="2"/>
                <w:sz w:val="20"/>
                <w:szCs w:val="20"/>
                <w:lang w:val="en-US" w:eastAsia="en-US" w:bidi="ar-SA"/>
              </w:rPr>
            </w:r>
            <w:r>
              <w:rPr>
                <w:rFonts w:eastAsia="Calibri" w:cs="Times New Roman"/>
                <w:kern w:val="2"/>
                <w:sz w:val="20"/>
                <w:szCs w:val="20"/>
                <w:vertAlign w:val="superscript"/>
                <w:lang w:val="en-US" w:eastAsia="en-US" w:bidi="ar-SA"/>
              </w:rPr>
              <w:t>48</w:t>
            </w:r>
            <w:r/>
            <w:r>
              <w:rPr>
                <w:sz w:val="20"/>
                <w:kern w:val="2"/>
                <w:szCs w:val="20"/>
                <w:rFonts w:eastAsia="Calibri" w:cs="Times New Roman"/>
                <w:lang w:val="en-US" w:eastAsia="en-US" w:bidi="ar-SA"/>
              </w:rPr>
              <w:fldChar w:fldCharType="end"/>
            </w:r>
            <w:r>
              <w:rPr>
                <w:rFonts w:eastAsia="Calibri" w:cs="Times New Roman"/>
                <w:kern w:val="2"/>
                <w:sz w:val="20"/>
                <w:szCs w:val="20"/>
                <w:lang w:val="en-US" w:eastAsia="en-US" w:bidi="ar-SA"/>
              </w:rPr>
            </w:r>
          </w:p>
        </w:tc>
        <w:tc>
          <w:tcPr>
            <w:tcW w:w="5562" w:type="dxa"/>
            <w:tcBorders/>
          </w:tcPr>
          <w:p>
            <w:pPr>
              <w:pStyle w:val="Normal"/>
              <w:widowControl/>
              <w:bidi w:val="0"/>
              <w:spacing w:lineRule="auto" w:line="360" w:before="0" w:after="0"/>
              <w:jc w:val="start"/>
              <w:rPr>
                <w:lang w:val="en-US"/>
              </w:rPr>
            </w:pPr>
            <w:r>
              <w:rPr>
                <w:rFonts w:eastAsia="Calibri" w:cs="Times New Roman"/>
                <w:kern w:val="2"/>
                <w:sz w:val="20"/>
                <w:szCs w:val="20"/>
                <w:lang w:val="en-US" w:eastAsia="en-US" w:bidi="ar-SA"/>
              </w:rPr>
              <w:t>Not mentioned.</w:t>
            </w:r>
          </w:p>
        </w:tc>
        <w:tc>
          <w:tcPr>
            <w:tcW w:w="4678" w:type="dxa"/>
            <w:tcBorders/>
          </w:tcPr>
          <w:p>
            <w:pPr>
              <w:pStyle w:val="Normal"/>
              <w:widowControl/>
              <w:bidi w:val="0"/>
              <w:spacing w:lineRule="auto" w:line="360" w:before="0" w:after="0"/>
              <w:jc w:val="start"/>
              <w:rPr>
                <w:lang w:val="en-US"/>
              </w:rPr>
            </w:pPr>
            <w:r>
              <w:rPr>
                <w:rFonts w:eastAsia="Calibri" w:cs="Times New Roman"/>
                <w:kern w:val="2"/>
                <w:sz w:val="20"/>
                <w:szCs w:val="20"/>
                <w:lang w:val="en-US" w:eastAsia="en-US" w:bidi="ar-SA"/>
              </w:rPr>
              <w:t>Not mentioned.</w:t>
            </w:r>
          </w:p>
        </w:tc>
        <w:tc>
          <w:tcPr>
            <w:tcW w:w="2804" w:type="dxa"/>
            <w:tcBorders/>
          </w:tcPr>
          <w:p>
            <w:pPr>
              <w:pStyle w:val="Normal"/>
              <w:widowControl/>
              <w:bidi w:val="0"/>
              <w:spacing w:lineRule="auto" w:line="360" w:before="0" w:after="0"/>
              <w:jc w:val="start"/>
              <w:rPr>
                <w:lang w:val="en-US"/>
              </w:rPr>
            </w:pPr>
            <w:r>
              <w:rPr>
                <w:rFonts w:eastAsia="Calibri" w:cs="Times New Roman"/>
                <w:kern w:val="2"/>
                <w:sz w:val="20"/>
                <w:szCs w:val="20"/>
                <w:lang w:val="en-US" w:eastAsia="en-US" w:bidi="ar-SA"/>
              </w:rPr>
              <w:t>Not mentioned.</w:t>
            </w:r>
          </w:p>
        </w:tc>
      </w:tr>
      <w:tr>
        <w:trPr>
          <w:trHeight w:val="350" w:hRule="atLeast"/>
        </w:trPr>
        <w:tc>
          <w:tcPr>
            <w:tcW w:w="1804" w:type="dxa"/>
            <w:tcBorders/>
          </w:tcPr>
          <w:p>
            <w:pPr>
              <w:pStyle w:val="Normal"/>
              <w:widowControl/>
              <w:bidi w:val="0"/>
              <w:spacing w:lineRule="auto" w:line="360" w:before="0" w:after="0"/>
              <w:jc w:val="start"/>
              <w:rPr>
                <w:lang w:val="en-US"/>
              </w:rPr>
            </w:pPr>
            <w:r>
              <w:rPr>
                <w:rFonts w:eastAsia="Calibri" w:cs="Times New Roman"/>
                <w:kern w:val="2"/>
                <w:sz w:val="20"/>
                <w:szCs w:val="20"/>
                <w:lang w:val="en-US" w:eastAsia="en-US" w:bidi="ar-SA"/>
              </w:rPr>
              <w:t>Watermeyer et al.</w:t>
            </w:r>
            <w:r>
              <w:fldChar w:fldCharType="begin"/>
            </w:r>
            <w:r>
              <w:rPr>
                <w:sz w:val="20"/>
                <w:kern w:val="2"/>
                <w:szCs w:val="20"/>
                <w:rFonts w:eastAsia="Calibri" w:cs="Times New Roman"/>
                <w:lang w:val="en-US" w:eastAsia="en-US" w:bidi="ar-SA"/>
              </w:rPr>
              <w:instrText xml:space="preserve">ADDIN EN.CITE &lt;EndNote&gt;&lt;Cite&gt;&lt;Author&gt;Watermeyer&lt;/Author&gt;&lt;Year&gt;2021&lt;/Year&gt;&lt;RecNum&gt;475&lt;/RecNum&gt;&lt;DisplayText&gt;&lt;style face="superscript"&gt;23&lt;/style&gt;&lt;/DisplayText&gt;&lt;record&gt;&lt;rec-number&gt;475&lt;/rec-number&gt;&lt;foreign-keys&gt;&lt;key app="EN" db-id="rs5a55vvspxz5uespwzvws0ppwexpv9rr5re" timestamp="1741101176"&gt;475&lt;/key&gt;&lt;/foreign-keys&gt;&lt;ref-type name="Journal Article"&gt;17&lt;/ref-type&gt;&lt;contributors&gt;&lt;authors&gt;&lt;author&gt;G Watermeyer&lt;/author&gt;&lt;author&gt;C Kassianides&lt;/author&gt;&lt;author&gt;E Deetlefs&lt;/author&gt;&lt;author&gt;D Epstein&lt;/author&gt;&lt;author&gt;E Fredericks&lt;/author&gt;&lt;author&gt;K Karlsson&lt;/author&gt;&lt;author&gt;M Kgomo&lt;/author&gt;&lt;author&gt;A Mahomed&lt;/author&gt;&lt;author&gt;R Nel&lt;/author&gt;&lt;author&gt;N Seabi&lt;/author&gt;&lt;author&gt;J van Zyl&lt;/author&gt;&lt;/authors&gt;&lt;/contributors&gt;&lt;titles&gt;&lt;title&gt;Position paper on the use of drug therapies in the management of inflammatory bowel disease&lt;/title&gt;&lt;secondary-title&gt;South African Gastroenterology Review&lt;/secondary-title&gt;&lt;/titles&gt;&lt;periodical&gt;&lt;full-title&gt;South African Gastroenterology Review&lt;/full-title&gt;&lt;/periodical&gt;&lt;pages&gt;13-28&lt;/pages&gt;&lt;volume&gt;19&lt;/volume&gt;&lt;number&gt;3&lt;/number&gt;&lt;dates&gt;&lt;year&gt;2021&lt;/year&gt;&lt;/dates&gt;&lt;urls&gt;&lt;related-urls&gt;&lt;url&gt;https://journals.co.za/doi/abs/10.10520/ejc-medgas_v19_n3_a6&lt;/url&gt;&lt;/related-urls&gt;&lt;/urls&gt;&lt;electronic-resource-num&gt;doi:10.10520/ejc-medgas_v19_n3_a6&lt;/electronic-resource-num&gt;&lt;/record&gt;&lt;/Cite&gt;&lt;/EndNote&gt;</w:instrText>
            </w:r>
            <w:r>
              <w:rPr>
                <w:rFonts w:eastAsia="Calibri" w:cs="Times New Roman"/>
                <w:kern w:val="2"/>
                <w:sz w:val="20"/>
                <w:szCs w:val="20"/>
                <w:lang w:val="en-US" w:eastAsia="en-US" w:bidi="ar-SA"/>
              </w:rPr>
            </w:r>
            <w:r>
              <w:rPr>
                <w:sz w:val="20"/>
                <w:kern w:val="2"/>
                <w:szCs w:val="20"/>
                <w:rFonts w:eastAsia="Calibri" w:cs="Times New Roman"/>
                <w:lang w:val="en-US" w:eastAsia="en-US" w:bidi="ar-SA"/>
              </w:rPr>
              <w:fldChar w:fldCharType="separate"/>
            </w:r>
            <w:r>
              <w:rPr>
                <w:rFonts w:eastAsia="Calibri" w:cs="Times New Roman"/>
                <w:kern w:val="2"/>
                <w:sz w:val="20"/>
                <w:szCs w:val="20"/>
                <w:lang w:val="en-US" w:eastAsia="en-US" w:bidi="ar-SA"/>
              </w:rPr>
            </w:r>
            <w:r>
              <w:rPr>
                <w:rFonts w:eastAsia="Calibri" w:cs="Times New Roman"/>
                <w:kern w:val="2"/>
                <w:sz w:val="20"/>
                <w:szCs w:val="20"/>
                <w:vertAlign w:val="superscript"/>
                <w:lang w:val="en-US" w:eastAsia="en-US" w:bidi="ar-SA"/>
              </w:rPr>
              <w:t>23</w:t>
            </w:r>
            <w:r/>
            <w:r>
              <w:rPr>
                <w:sz w:val="20"/>
                <w:kern w:val="2"/>
                <w:szCs w:val="20"/>
                <w:rFonts w:eastAsia="Calibri" w:cs="Times New Roman"/>
                <w:lang w:val="en-US" w:eastAsia="en-US" w:bidi="ar-SA"/>
              </w:rPr>
              <w:fldChar w:fldCharType="end"/>
            </w:r>
            <w:r>
              <w:rPr>
                <w:rFonts w:eastAsia="Calibri" w:cs="Times New Roman"/>
                <w:kern w:val="2"/>
                <w:sz w:val="20"/>
                <w:szCs w:val="20"/>
                <w:lang w:val="en-US" w:eastAsia="en-US" w:bidi="ar-SA"/>
              </w:rPr>
            </w:r>
          </w:p>
        </w:tc>
        <w:tc>
          <w:tcPr>
            <w:tcW w:w="5562" w:type="dxa"/>
            <w:tcBorders/>
          </w:tcPr>
          <w:p>
            <w:pPr>
              <w:pStyle w:val="Normal"/>
              <w:widowControl/>
              <w:bidi w:val="0"/>
              <w:spacing w:lineRule="auto" w:line="360" w:before="0" w:after="0"/>
              <w:jc w:val="start"/>
              <w:rPr>
                <w:i/>
                <w:i/>
                <w:iCs/>
                <w:lang w:val="en-US"/>
              </w:rPr>
            </w:pPr>
            <w:r>
              <w:rPr>
                <w:rFonts w:eastAsia="Calibri" w:cs="Times New Roman"/>
                <w:i/>
                <w:iCs/>
                <w:kern w:val="2"/>
                <w:sz w:val="20"/>
                <w:szCs w:val="20"/>
                <w:lang w:val="en-US" w:eastAsia="en-US" w:bidi="ar-SA"/>
              </w:rPr>
              <w:t>Monitoring of thiopurine metabolites is not available in South Africa.</w:t>
            </w:r>
          </w:p>
        </w:tc>
        <w:tc>
          <w:tcPr>
            <w:tcW w:w="4678" w:type="dxa"/>
            <w:tcBorders/>
          </w:tcPr>
          <w:p>
            <w:pPr>
              <w:pStyle w:val="Normal"/>
              <w:widowControl/>
              <w:bidi w:val="0"/>
              <w:spacing w:lineRule="auto" w:line="360" w:before="0" w:after="0"/>
              <w:jc w:val="start"/>
              <w:rPr>
                <w:i/>
                <w:i/>
                <w:iCs/>
                <w:lang w:val="en-US"/>
              </w:rPr>
            </w:pPr>
            <w:r>
              <w:rPr>
                <w:rFonts w:eastAsia="Calibri" w:cs="Times New Roman"/>
                <w:i/>
                <w:iCs/>
                <w:kern w:val="2"/>
                <w:sz w:val="20"/>
                <w:szCs w:val="20"/>
                <w:lang w:val="en-US" w:eastAsia="en-US" w:bidi="ar-SA"/>
              </w:rPr>
              <w:t>TPMT testing should be considered before the initial use of AZA or MP to treat patients with IBD.</w:t>
            </w:r>
          </w:p>
        </w:tc>
        <w:tc>
          <w:tcPr>
            <w:tcW w:w="2804" w:type="dxa"/>
            <w:tcBorders/>
          </w:tcPr>
          <w:p>
            <w:pPr>
              <w:pStyle w:val="Normal"/>
              <w:widowControl/>
              <w:bidi w:val="0"/>
              <w:spacing w:lineRule="auto" w:line="360" w:before="0" w:after="0"/>
              <w:jc w:val="start"/>
              <w:rPr>
                <w:lang w:val="en-US"/>
              </w:rPr>
            </w:pPr>
            <w:r>
              <w:rPr>
                <w:rFonts w:eastAsia="Calibri" w:cs="Times New Roman"/>
                <w:kern w:val="2"/>
                <w:sz w:val="20"/>
                <w:szCs w:val="20"/>
                <w:lang w:val="en-US" w:eastAsia="en-US" w:bidi="ar-SA"/>
              </w:rPr>
              <w:t>Not mentioned.</w:t>
            </w:r>
          </w:p>
        </w:tc>
      </w:tr>
      <w:tr>
        <w:trPr>
          <w:trHeight w:val="350" w:hRule="atLeast"/>
        </w:trPr>
        <w:tc>
          <w:tcPr>
            <w:tcW w:w="1804" w:type="dxa"/>
            <w:tcBorders/>
          </w:tcPr>
          <w:p>
            <w:pPr>
              <w:pStyle w:val="Normal"/>
              <w:widowControl/>
              <w:bidi w:val="0"/>
              <w:spacing w:lineRule="auto" w:line="360" w:before="0" w:after="0"/>
              <w:jc w:val="start"/>
              <w:rPr>
                <w:lang w:val="en-US"/>
              </w:rPr>
            </w:pPr>
            <w:r>
              <w:rPr>
                <w:rFonts w:eastAsia="Calibri" w:cs="Times New Roman"/>
                <w:kern w:val="2"/>
                <w:sz w:val="20"/>
                <w:szCs w:val="20"/>
                <w:lang w:val="en-US" w:eastAsia="en-US" w:bidi="ar-SA"/>
              </w:rPr>
              <w:t>Imbrizi et al.</w:t>
            </w:r>
            <w:r>
              <w:fldChar w:fldCharType="begin"/>
            </w:r>
            <w:r>
              <w:rPr>
                <w:sz w:val="20"/>
                <w:kern w:val="2"/>
                <w:szCs w:val="20"/>
                <w:rFonts w:eastAsia="Calibri" w:cs="Times New Roman"/>
                <w:lang w:val="en-US" w:eastAsia="en-US" w:bidi="ar-SA"/>
              </w:rPr>
              <w:instrText xml:space="preserve">ADDIN EN.CITE</w:instrText>
            </w:r>
            <w:r>
              <w:rPr>
                <w:rFonts w:eastAsia="Calibri" w:cs="Times New Roman"/>
                <w:kern w:val="2"/>
                <w:sz w:val="20"/>
                <w:szCs w:val="20"/>
                <w:lang w:val="en-US" w:eastAsia="en-US" w:bidi="ar-SA"/>
              </w:rPr>
            </w:r>
            <w:r>
              <w:fldChar w:fldCharType="begin"/>
            </w:r>
            <w:r>
              <w:rPr>
                <w:sz w:val="20"/>
                <w:kern w:val="2"/>
                <w:szCs w:val="20"/>
                <w:rFonts w:eastAsia="Calibri" w:cs="Times New Roman"/>
                <w:lang w:val="en-US" w:eastAsia="en-US" w:bidi="ar-SA"/>
              </w:rPr>
              <w:instrText xml:space="preserve">ADDIN EN.CITE.DATA</w:instrText>
            </w:r>
            <w:r>
              <w:rPr>
                <w:rFonts w:eastAsia="Calibri" w:cs="Times New Roman"/>
                <w:kern w:val="2"/>
                <w:sz w:val="20"/>
                <w:szCs w:val="20"/>
                <w:lang w:val="en-US" w:eastAsia="en-US" w:bidi="ar-SA"/>
              </w:rPr>
            </w:r>
            <w:r>
              <w:rPr>
                <w:sz w:val="20"/>
                <w:kern w:val="2"/>
                <w:szCs w:val="20"/>
                <w:rFonts w:eastAsia="Calibri" w:cs="Times New Roman"/>
                <w:lang w:val="en-US" w:eastAsia="en-US" w:bidi="ar-SA"/>
              </w:rPr>
              <w:fldChar w:fldCharType="separate"/>
            </w:r>
            <w:r>
              <w:rPr>
                <w:rFonts w:eastAsia="Calibri" w:cs="Times New Roman"/>
                <w:kern w:val="2"/>
                <w:sz w:val="20"/>
                <w:szCs w:val="20"/>
                <w:lang w:val="en-US" w:eastAsia="en-US" w:bidi="ar-SA"/>
              </w:rPr>
            </w:r>
            <w:r>
              <w:rPr>
                <w:rFonts w:eastAsia="Calibri" w:cs="Times New Roman"/>
                <w:kern w:val="2"/>
                <w:sz w:val="20"/>
                <w:szCs w:val="20"/>
                <w:lang w:val="en-US" w:eastAsia="en-US" w:bidi="ar-SA"/>
              </w:rPr>
            </w:r>
            <w:r>
              <w:rPr>
                <w:sz w:val="20"/>
                <w:kern w:val="2"/>
                <w:szCs w:val="20"/>
                <w:rFonts w:eastAsia="Calibri" w:cs="Times New Roman"/>
                <w:lang w:val="en-US" w:eastAsia="en-US" w:bidi="ar-SA"/>
              </w:rPr>
              <w:fldChar w:fldCharType="end"/>
            </w:r>
            <w:r>
              <w:rPr>
                <w:sz w:val="20"/>
                <w:kern w:val="2"/>
                <w:szCs w:val="20"/>
                <w:rFonts w:eastAsia="Calibri" w:cs="Times New Roman"/>
                <w:lang w:val="en-US" w:eastAsia="en-US" w:bidi="ar-SA"/>
              </w:rPr>
              <w:fldChar w:fldCharType="separate"/>
            </w:r>
            <w:r>
              <w:rPr>
                <w:rFonts w:eastAsia="Calibri" w:cs="Times New Roman"/>
                <w:kern w:val="2"/>
                <w:sz w:val="20"/>
                <w:szCs w:val="20"/>
                <w:lang w:val="en-US" w:eastAsia="en-US" w:bidi="ar-SA"/>
              </w:rPr>
            </w:r>
            <w:r>
              <w:rPr>
                <w:rFonts w:eastAsia="Calibri" w:cs="Times New Roman"/>
                <w:kern w:val="2"/>
                <w:sz w:val="20"/>
                <w:szCs w:val="20"/>
                <w:vertAlign w:val="superscript"/>
                <w:lang w:val="en-US" w:eastAsia="en-US" w:bidi="ar-SA"/>
              </w:rPr>
              <w:t>13</w:t>
            </w:r>
            <w:r/>
            <w:r>
              <w:rPr>
                <w:sz w:val="20"/>
                <w:kern w:val="2"/>
                <w:szCs w:val="20"/>
                <w:rFonts w:eastAsia="Calibri" w:cs="Times New Roman"/>
                <w:lang w:val="en-US" w:eastAsia="en-US" w:bidi="ar-SA"/>
              </w:rPr>
              <w:fldChar w:fldCharType="end"/>
            </w:r>
            <w:r>
              <w:rPr>
                <w:rFonts w:eastAsia="Calibri" w:cs="Times New Roman"/>
                <w:kern w:val="2"/>
                <w:sz w:val="20"/>
                <w:szCs w:val="20"/>
                <w:lang w:val="en-US" w:eastAsia="en-US" w:bidi="ar-SA"/>
              </w:rPr>
            </w:r>
          </w:p>
        </w:tc>
        <w:tc>
          <w:tcPr>
            <w:tcW w:w="5562" w:type="dxa"/>
            <w:tcBorders/>
          </w:tcPr>
          <w:p>
            <w:pPr>
              <w:pStyle w:val="Normal"/>
              <w:widowControl/>
              <w:bidi w:val="0"/>
              <w:spacing w:lineRule="auto" w:line="360" w:before="0" w:after="0"/>
              <w:jc w:val="start"/>
              <w:rPr>
                <w:i/>
                <w:i/>
                <w:iCs/>
                <w:lang w:val="en-US"/>
              </w:rPr>
            </w:pPr>
            <w:r>
              <w:rPr>
                <w:rFonts w:eastAsia="Calibri" w:cs="Times New Roman"/>
                <w:i/>
                <w:iCs/>
                <w:kern w:val="2"/>
                <w:sz w:val="20"/>
                <w:szCs w:val="20"/>
                <w:lang w:val="en-US" w:eastAsia="en-US" w:bidi="ar-SA"/>
              </w:rPr>
              <w:t>Low-dose thiopurines (25-33% of the usual dose) in combination with allopurinol 100 mg might be considered in patients with thiopurine hepatotoxicity, nausea, or flu-like symptoms, or those who are hyper-methylators.</w:t>
            </w:r>
          </w:p>
        </w:tc>
        <w:tc>
          <w:tcPr>
            <w:tcW w:w="4678" w:type="dxa"/>
            <w:tcBorders/>
          </w:tcPr>
          <w:p>
            <w:pPr>
              <w:pStyle w:val="Normal"/>
              <w:widowControl/>
              <w:bidi w:val="0"/>
              <w:spacing w:lineRule="auto" w:line="360" w:before="0" w:after="0"/>
              <w:jc w:val="start"/>
              <w:rPr>
                <w:i/>
                <w:i/>
                <w:iCs/>
                <w:lang w:val="en-US"/>
              </w:rPr>
            </w:pPr>
            <w:r>
              <w:rPr>
                <w:rFonts w:eastAsia="Calibri" w:cs="Times New Roman"/>
                <w:i/>
                <w:iCs/>
                <w:kern w:val="2"/>
                <w:sz w:val="20"/>
                <w:szCs w:val="20"/>
                <w:lang w:val="en-US" w:eastAsia="en-US" w:bidi="ar-SA"/>
              </w:rPr>
              <w:t>Thiopurines should also be avoided in patients with low TPMT activity. The dose of thiopurine should be reduced to 50% in those with intermediate TPMT activity.</w:t>
            </w:r>
          </w:p>
          <w:p>
            <w:pPr>
              <w:pStyle w:val="Normal"/>
              <w:widowControl/>
              <w:bidi w:val="0"/>
              <w:spacing w:lineRule="auto" w:line="360" w:before="0" w:after="0"/>
              <w:jc w:val="start"/>
              <w:rPr>
                <w:i/>
                <w:i/>
                <w:iCs/>
                <w:lang w:val="en-US"/>
              </w:rPr>
            </w:pPr>
            <w:r>
              <w:rPr>
                <w:rFonts w:eastAsia="Calibri" w:cs="Times New Roman"/>
                <w:i/>
                <w:iCs/>
                <w:kern w:val="2"/>
                <w:sz w:val="20"/>
                <w:szCs w:val="20"/>
                <w:lang w:val="en-US" w:eastAsia="en-US" w:bidi="ar-SA"/>
              </w:rPr>
              <w:t>In the Brazilian public health scenario, analytical methods for the measurement of TPMT genotype and phenotypic activity are not widely available.</w:t>
            </w:r>
          </w:p>
        </w:tc>
        <w:tc>
          <w:tcPr>
            <w:tcW w:w="2804" w:type="dxa"/>
            <w:tcBorders/>
          </w:tcPr>
          <w:p>
            <w:pPr>
              <w:pStyle w:val="Normal"/>
              <w:widowControl/>
              <w:bidi w:val="0"/>
              <w:spacing w:lineRule="auto" w:line="360" w:before="0" w:after="0"/>
              <w:jc w:val="start"/>
              <w:rPr>
                <w:lang w:val="en-US"/>
              </w:rPr>
            </w:pPr>
            <w:r>
              <w:rPr>
                <w:rFonts w:eastAsia="Calibri" w:cs="Times New Roman"/>
                <w:kern w:val="2"/>
                <w:sz w:val="20"/>
                <w:szCs w:val="20"/>
                <w:lang w:val="en-US" w:eastAsia="en-US" w:bidi="ar-SA"/>
              </w:rPr>
              <w:t>Not mentioned.</w:t>
            </w:r>
          </w:p>
        </w:tc>
      </w:tr>
      <w:tr>
        <w:trPr>
          <w:trHeight w:val="350" w:hRule="atLeast"/>
        </w:trPr>
        <w:tc>
          <w:tcPr>
            <w:tcW w:w="1804" w:type="dxa"/>
            <w:tcBorders/>
          </w:tcPr>
          <w:p>
            <w:pPr>
              <w:pStyle w:val="Normal"/>
              <w:widowControl/>
              <w:bidi w:val="0"/>
              <w:spacing w:lineRule="auto" w:line="360" w:before="0" w:after="0"/>
              <w:jc w:val="start"/>
              <w:rPr>
                <w:lang w:val="en-US"/>
              </w:rPr>
            </w:pPr>
            <w:r>
              <w:rPr>
                <w:rFonts w:eastAsia="Calibri" w:cs="Times New Roman"/>
                <w:kern w:val="2"/>
                <w:sz w:val="20"/>
                <w:szCs w:val="20"/>
                <w:lang w:val="en-US" w:eastAsia="en-US" w:bidi="ar-SA"/>
              </w:rPr>
              <w:t>Juliao-Baños et al.</w:t>
            </w:r>
            <w:r>
              <w:fldChar w:fldCharType="begin"/>
            </w:r>
            <w:r>
              <w:rPr>
                <w:sz w:val="20"/>
                <w:kern w:val="2"/>
                <w:szCs w:val="20"/>
                <w:rFonts w:eastAsia="Calibri" w:cs="Times New Roman"/>
                <w:lang w:val="en-US" w:eastAsia="en-US" w:bidi="ar-SA"/>
              </w:rPr>
              <w:instrText xml:space="preserve">ADDIN EN.CITE &lt;EndNote&gt;&lt;Cite&gt;&lt;Author&gt;Juliao-Baños&lt;/Author&gt;&lt;Year&gt;2020&lt;/Year&gt;&lt;RecNum&gt;476&lt;/RecNum&gt;&lt;DisplayText&gt;&lt;style face="superscript"&gt;24&lt;/style&gt;&lt;/DisplayText&gt;&lt;record&gt;&lt;rec-number&gt;476&lt;/rec-number&gt;&lt;foreign-keys&gt;&lt;key app="EN" db-id="rs5a55vvspxz5uespwzvws0ppwexpv9rr5re" timestamp="1741101270"&gt;476&lt;/key&gt;&lt;/foreign-keys&gt;&lt;ref-type name="Journal Article"&gt;17&lt;/ref-type&gt;&lt;contributors&gt;&lt;authors&gt;&lt;author&gt;Juliao-Baños, Fabián&lt;/author&gt;&lt;author&gt;Pineda, Luis Fernando&lt;/author&gt;&lt;author&gt;Otero-Regino, William&lt;/author&gt;&lt;author&gt;Galiano, María Teresa&lt;/author&gt;&lt;author&gt;García-Duperly, Rafael&lt;/author&gt;&lt;author&gt;Torres-Amaya, Marcela&lt;/author&gt;&lt;/authors&gt;&lt;/contributors&gt;&lt;titles&gt;&lt;title&gt;Clinical practice guidelines for the treatment of Crohn’s disease in the adult population&lt;/title&gt;&lt;secondary-title&gt;Revista colombiana de Gastroenterología&lt;/secondary-title&gt;&lt;/titles&gt;&lt;periodical&gt;&lt;full-title&gt;Revista colombiana de Gastroenterología&lt;/full-title&gt;&lt;/periodical&gt;&lt;pages&gt;63-200&lt;/pages&gt;&lt;volume&gt;35&lt;/volume&gt;&lt;dates&gt;&lt;year&gt;2020&lt;/year&gt;&lt;/dates&gt;&lt;isbn&gt;0120-9957&lt;/isbn&gt;&lt;urls&gt;&lt;/urls&gt;&lt;/record&gt;&lt;/Cite&gt;&lt;/EndNote&gt;</w:instrText>
            </w:r>
            <w:r>
              <w:rPr>
                <w:rFonts w:eastAsia="Calibri" w:cs="Times New Roman"/>
                <w:kern w:val="2"/>
                <w:sz w:val="20"/>
                <w:szCs w:val="20"/>
                <w:lang w:val="en-US" w:eastAsia="en-US" w:bidi="ar-SA"/>
              </w:rPr>
            </w:r>
            <w:r>
              <w:rPr>
                <w:sz w:val="20"/>
                <w:kern w:val="2"/>
                <w:szCs w:val="20"/>
                <w:rFonts w:eastAsia="Calibri" w:cs="Times New Roman"/>
                <w:lang w:val="en-US" w:eastAsia="en-US" w:bidi="ar-SA"/>
              </w:rPr>
              <w:fldChar w:fldCharType="separate"/>
            </w:r>
            <w:r>
              <w:rPr>
                <w:rFonts w:eastAsia="Calibri" w:cs="Times New Roman"/>
                <w:kern w:val="2"/>
                <w:sz w:val="20"/>
                <w:szCs w:val="20"/>
                <w:lang w:val="en-US" w:eastAsia="en-US" w:bidi="ar-SA"/>
              </w:rPr>
            </w:r>
            <w:r>
              <w:rPr>
                <w:rFonts w:eastAsia="Calibri" w:cs="Times New Roman"/>
                <w:kern w:val="2"/>
                <w:sz w:val="20"/>
                <w:szCs w:val="20"/>
                <w:vertAlign w:val="superscript"/>
                <w:lang w:val="en-US" w:eastAsia="en-US" w:bidi="ar-SA"/>
              </w:rPr>
              <w:t>24</w:t>
            </w:r>
            <w:r/>
            <w:r>
              <w:rPr>
                <w:sz w:val="20"/>
                <w:kern w:val="2"/>
                <w:szCs w:val="20"/>
                <w:rFonts w:eastAsia="Calibri" w:cs="Times New Roman"/>
                <w:lang w:val="en-US" w:eastAsia="en-US" w:bidi="ar-SA"/>
              </w:rPr>
              <w:fldChar w:fldCharType="end"/>
            </w:r>
            <w:r>
              <w:rPr>
                <w:rFonts w:eastAsia="Calibri" w:cs="Times New Roman"/>
                <w:kern w:val="2"/>
                <w:sz w:val="20"/>
                <w:szCs w:val="20"/>
                <w:lang w:val="en-US" w:eastAsia="en-US" w:bidi="ar-SA"/>
              </w:rPr>
            </w:r>
          </w:p>
        </w:tc>
        <w:tc>
          <w:tcPr>
            <w:tcW w:w="5562" w:type="dxa"/>
            <w:tcBorders/>
          </w:tcPr>
          <w:p>
            <w:pPr>
              <w:pStyle w:val="Normal"/>
              <w:widowControl/>
              <w:bidi w:val="0"/>
              <w:spacing w:lineRule="auto" w:line="360" w:before="0" w:after="0"/>
              <w:jc w:val="start"/>
              <w:rPr>
                <w:i/>
                <w:i/>
                <w:iCs/>
                <w:lang w:val="en-US"/>
              </w:rPr>
            </w:pPr>
            <w:r>
              <w:rPr>
                <w:rFonts w:eastAsia="Calibri" w:cs="Times New Roman"/>
                <w:kern w:val="2"/>
                <w:sz w:val="20"/>
                <w:szCs w:val="20"/>
                <w:lang w:val="en-US" w:eastAsia="en-US" w:bidi="ar-SA"/>
              </w:rPr>
              <w:t>Not mentioned.</w:t>
            </w:r>
          </w:p>
        </w:tc>
        <w:tc>
          <w:tcPr>
            <w:tcW w:w="4678" w:type="dxa"/>
            <w:tcBorders/>
          </w:tcPr>
          <w:p>
            <w:pPr>
              <w:pStyle w:val="Normal"/>
              <w:widowControl/>
              <w:bidi w:val="0"/>
              <w:spacing w:lineRule="auto" w:line="360" w:before="0" w:after="0"/>
              <w:jc w:val="start"/>
              <w:rPr>
                <w:i/>
                <w:i/>
                <w:iCs/>
                <w:lang w:val="en-US"/>
              </w:rPr>
            </w:pPr>
            <w:r>
              <w:rPr>
                <w:rFonts w:eastAsia="Calibri" w:cs="Times New Roman"/>
                <w:i/>
                <w:iCs/>
                <w:kern w:val="2"/>
                <w:sz w:val="20"/>
                <w:szCs w:val="20"/>
                <w:lang w:val="en-US" w:eastAsia="en-US" w:bidi="ar-SA"/>
              </w:rPr>
              <w:t>TPMT enzyme activity can be measured before starting the administration of thiopurines, since this allows the identification of patients who may develop severe immunosuppression if these drugs are used. Currently, the TPMT test is not available in Colombia; however, starting its use in the country would be an ideal scenario since patients treated with thiopurines may develop immunosuppression. The future inclusion of this test in the health benefits plan of the mandatory health insurance coverage system in force in Colombia is suggested.</w:t>
            </w:r>
          </w:p>
        </w:tc>
        <w:tc>
          <w:tcPr>
            <w:tcW w:w="2804" w:type="dxa"/>
            <w:tcBorders/>
          </w:tcPr>
          <w:p>
            <w:pPr>
              <w:pStyle w:val="Normal"/>
              <w:widowControl/>
              <w:bidi w:val="0"/>
              <w:spacing w:lineRule="auto" w:line="360" w:before="0" w:after="0"/>
              <w:jc w:val="start"/>
              <w:rPr>
                <w:lang w:val="en-US"/>
              </w:rPr>
            </w:pPr>
            <w:r>
              <w:rPr>
                <w:rFonts w:eastAsia="Calibri" w:cs="Times New Roman"/>
                <w:kern w:val="2"/>
                <w:sz w:val="20"/>
                <w:szCs w:val="20"/>
                <w:lang w:val="en-US" w:eastAsia="en-US" w:bidi="ar-SA"/>
              </w:rPr>
              <w:t>Not mentioned.</w:t>
            </w:r>
          </w:p>
        </w:tc>
      </w:tr>
      <w:tr>
        <w:trPr>
          <w:trHeight w:val="350" w:hRule="atLeast"/>
        </w:trPr>
        <w:tc>
          <w:tcPr>
            <w:tcW w:w="1804" w:type="dxa"/>
            <w:tcBorders/>
          </w:tcPr>
          <w:p>
            <w:pPr>
              <w:pStyle w:val="Normal"/>
              <w:widowControl/>
              <w:bidi w:val="0"/>
              <w:spacing w:lineRule="auto" w:line="360" w:before="0" w:after="0"/>
              <w:jc w:val="start"/>
              <w:rPr>
                <w:lang w:val="en-US"/>
              </w:rPr>
            </w:pPr>
            <w:r>
              <w:rPr>
                <w:rFonts w:eastAsia="Calibri" w:cs="Times New Roman"/>
                <w:kern w:val="2"/>
                <w:sz w:val="20"/>
                <w:szCs w:val="20"/>
                <w:lang w:val="en-US" w:eastAsia="en-US" w:bidi="ar-SA"/>
              </w:rPr>
              <w:t>Yamamoto et al.</w:t>
            </w:r>
            <w:r>
              <w:fldChar w:fldCharType="begin"/>
            </w:r>
            <w:r>
              <w:rPr>
                <w:sz w:val="20"/>
                <w:kern w:val="2"/>
                <w:szCs w:val="20"/>
                <w:rFonts w:eastAsia="Calibri" w:cs="Times New Roman"/>
                <w:lang w:val="en-US" w:eastAsia="en-US" w:bidi="ar-SA"/>
              </w:rPr>
              <w:instrText xml:space="preserve">ADDIN EN.CITE</w:instrText>
            </w:r>
            <w:r>
              <w:rPr>
                <w:rFonts w:eastAsia="Calibri" w:cs="Times New Roman"/>
                <w:kern w:val="2"/>
                <w:sz w:val="20"/>
                <w:szCs w:val="20"/>
                <w:lang w:val="en-US" w:eastAsia="en-US" w:bidi="ar-SA"/>
              </w:rPr>
            </w:r>
            <w:r>
              <w:fldChar w:fldCharType="begin"/>
            </w:r>
            <w:r>
              <w:rPr>
                <w:sz w:val="20"/>
                <w:kern w:val="2"/>
                <w:szCs w:val="20"/>
                <w:rFonts w:eastAsia="Calibri" w:cs="Times New Roman"/>
                <w:lang w:val="en-US" w:eastAsia="en-US" w:bidi="ar-SA"/>
              </w:rPr>
              <w:instrText xml:space="preserve">ADDIN EN.CITE.DATA</w:instrText>
            </w:r>
            <w:r>
              <w:rPr>
                <w:rFonts w:eastAsia="Calibri" w:cs="Times New Roman"/>
                <w:kern w:val="2"/>
                <w:sz w:val="20"/>
                <w:szCs w:val="20"/>
                <w:lang w:val="en-US" w:eastAsia="en-US" w:bidi="ar-SA"/>
              </w:rPr>
            </w:r>
            <w:r>
              <w:rPr>
                <w:sz w:val="20"/>
                <w:kern w:val="2"/>
                <w:szCs w:val="20"/>
                <w:rFonts w:eastAsia="Calibri" w:cs="Times New Roman"/>
                <w:lang w:val="en-US" w:eastAsia="en-US" w:bidi="ar-SA"/>
              </w:rPr>
              <w:fldChar w:fldCharType="separate"/>
            </w:r>
            <w:r>
              <w:rPr>
                <w:rFonts w:eastAsia="Calibri" w:cs="Times New Roman"/>
                <w:kern w:val="2"/>
                <w:sz w:val="20"/>
                <w:szCs w:val="20"/>
                <w:lang w:val="en-US" w:eastAsia="en-US" w:bidi="ar-SA"/>
              </w:rPr>
            </w:r>
            <w:r>
              <w:rPr>
                <w:rFonts w:eastAsia="Calibri" w:cs="Times New Roman"/>
                <w:kern w:val="2"/>
                <w:sz w:val="20"/>
                <w:szCs w:val="20"/>
                <w:lang w:val="en-US" w:eastAsia="en-US" w:bidi="ar-SA"/>
              </w:rPr>
            </w:r>
            <w:r>
              <w:rPr>
                <w:sz w:val="20"/>
                <w:kern w:val="2"/>
                <w:szCs w:val="20"/>
                <w:rFonts w:eastAsia="Calibri" w:cs="Times New Roman"/>
                <w:lang w:val="en-US" w:eastAsia="en-US" w:bidi="ar-SA"/>
              </w:rPr>
              <w:fldChar w:fldCharType="end"/>
            </w:r>
            <w:r>
              <w:rPr>
                <w:sz w:val="20"/>
                <w:kern w:val="2"/>
                <w:szCs w:val="20"/>
                <w:rFonts w:eastAsia="Calibri" w:cs="Times New Roman"/>
                <w:lang w:val="en-US" w:eastAsia="en-US" w:bidi="ar-SA"/>
              </w:rPr>
              <w:fldChar w:fldCharType="separate"/>
            </w:r>
            <w:r>
              <w:rPr>
                <w:rFonts w:eastAsia="Calibri" w:cs="Times New Roman"/>
                <w:kern w:val="2"/>
                <w:sz w:val="20"/>
                <w:szCs w:val="20"/>
                <w:lang w:val="en-US" w:eastAsia="en-US" w:bidi="ar-SA"/>
              </w:rPr>
            </w:r>
            <w:r>
              <w:rPr>
                <w:rFonts w:eastAsia="Calibri" w:cs="Times New Roman"/>
                <w:kern w:val="2"/>
                <w:sz w:val="20"/>
                <w:szCs w:val="20"/>
                <w:vertAlign w:val="superscript"/>
                <w:lang w:val="en-US" w:eastAsia="en-US" w:bidi="ar-SA"/>
              </w:rPr>
              <w:t>49</w:t>
            </w:r>
            <w:r/>
            <w:r>
              <w:rPr>
                <w:sz w:val="20"/>
                <w:kern w:val="2"/>
                <w:szCs w:val="20"/>
                <w:rFonts w:eastAsia="Calibri" w:cs="Times New Roman"/>
                <w:lang w:val="en-US" w:eastAsia="en-US" w:bidi="ar-SA"/>
              </w:rPr>
              <w:fldChar w:fldCharType="end"/>
            </w:r>
            <w:r>
              <w:rPr>
                <w:rFonts w:eastAsia="Calibri" w:cs="Times New Roman"/>
                <w:kern w:val="2"/>
                <w:sz w:val="20"/>
                <w:szCs w:val="20"/>
                <w:lang w:val="en-US" w:eastAsia="en-US" w:bidi="ar-SA"/>
              </w:rPr>
            </w:r>
          </w:p>
        </w:tc>
        <w:tc>
          <w:tcPr>
            <w:tcW w:w="5562" w:type="dxa"/>
            <w:tcBorders/>
          </w:tcPr>
          <w:p>
            <w:pPr>
              <w:pStyle w:val="Normal"/>
              <w:widowControl/>
              <w:bidi w:val="0"/>
              <w:spacing w:lineRule="auto" w:line="360" w:before="0" w:after="0"/>
              <w:jc w:val="start"/>
              <w:rPr>
                <w:lang w:val="en-US"/>
              </w:rPr>
            </w:pPr>
            <w:r>
              <w:rPr>
                <w:rFonts w:eastAsia="Calibri" w:cs="Times New Roman"/>
                <w:kern w:val="2"/>
                <w:sz w:val="20"/>
                <w:szCs w:val="20"/>
                <w:lang w:val="en-US" w:eastAsia="en-US" w:bidi="ar-SA"/>
              </w:rPr>
              <w:t>Not mentioned.</w:t>
            </w:r>
          </w:p>
        </w:tc>
        <w:tc>
          <w:tcPr>
            <w:tcW w:w="4678" w:type="dxa"/>
            <w:tcBorders/>
          </w:tcPr>
          <w:p>
            <w:pPr>
              <w:pStyle w:val="Normal"/>
              <w:widowControl/>
              <w:bidi w:val="0"/>
              <w:spacing w:lineRule="auto" w:line="360" w:before="0" w:after="0"/>
              <w:jc w:val="start"/>
              <w:rPr>
                <w:i/>
                <w:i/>
                <w:iCs/>
                <w:lang w:val="en-US"/>
              </w:rPr>
            </w:pPr>
            <w:r>
              <w:rPr>
                <w:rFonts w:eastAsia="Calibri" w:cs="Times New Roman"/>
                <w:kern w:val="2"/>
                <w:sz w:val="20"/>
                <w:szCs w:val="20"/>
                <w:lang w:val="en-US" w:eastAsia="en-US" w:bidi="ar-SA"/>
              </w:rPr>
              <w:t>Not mentioned.</w:t>
            </w:r>
          </w:p>
        </w:tc>
        <w:tc>
          <w:tcPr>
            <w:tcW w:w="2804" w:type="dxa"/>
            <w:tcBorders/>
          </w:tcPr>
          <w:p>
            <w:pPr>
              <w:pStyle w:val="Normal"/>
              <w:widowControl/>
              <w:bidi w:val="0"/>
              <w:spacing w:lineRule="auto" w:line="360" w:before="0" w:after="0"/>
              <w:jc w:val="start"/>
              <w:rPr>
                <w:lang w:val="en-US"/>
              </w:rPr>
            </w:pPr>
            <w:r>
              <w:rPr>
                <w:rFonts w:eastAsia="Calibri" w:cs="Times New Roman"/>
                <w:kern w:val="2"/>
                <w:sz w:val="20"/>
                <w:szCs w:val="20"/>
                <w:lang w:val="en-US" w:eastAsia="en-US" w:bidi="ar-SA"/>
              </w:rPr>
              <w:t>Not mentioned.</w:t>
            </w:r>
          </w:p>
        </w:tc>
      </w:tr>
      <w:tr>
        <w:trPr>
          <w:trHeight w:val="350" w:hRule="atLeast"/>
        </w:trPr>
        <w:tc>
          <w:tcPr>
            <w:tcW w:w="1804" w:type="dxa"/>
            <w:tcBorders/>
          </w:tcPr>
          <w:p>
            <w:pPr>
              <w:pStyle w:val="Normal"/>
              <w:widowControl/>
              <w:bidi w:val="0"/>
              <w:spacing w:lineRule="auto" w:line="360" w:before="0" w:after="0"/>
              <w:jc w:val="start"/>
              <w:rPr>
                <w:lang w:val="en-US"/>
              </w:rPr>
            </w:pPr>
            <w:r>
              <w:rPr>
                <w:rFonts w:eastAsia="Calibri" w:cs="Times New Roman"/>
                <w:kern w:val="2"/>
                <w:sz w:val="20"/>
                <w:szCs w:val="20"/>
                <w:lang w:val="en-US" w:eastAsia="en-US" w:bidi="ar-SA"/>
              </w:rPr>
              <w:t>Yamamoto et al.</w:t>
            </w:r>
            <w:r>
              <w:fldChar w:fldCharType="begin"/>
            </w:r>
            <w:r>
              <w:rPr>
                <w:sz w:val="20"/>
                <w:kern w:val="2"/>
                <w:szCs w:val="20"/>
                <w:rFonts w:eastAsia="Calibri" w:cs="Times New Roman"/>
                <w:lang w:val="en-US" w:eastAsia="en-US" w:bidi="ar-SA"/>
              </w:rPr>
              <w:instrText xml:space="preserve">ADDIN EN.CITE &lt;EndNote&gt;&lt;Cite&gt;&lt;Author&gt;Yamamoto-Furusho&lt;/Author&gt;&lt;Year&gt;2018&lt;/Year&gt;&lt;RecNum&gt;461&lt;/RecNum&gt;&lt;DisplayText&gt;&lt;style face="superscript"&gt;50&lt;/style&gt;&lt;/DisplayText&gt;&lt;record&gt;&lt;rec-number&gt;461&lt;/rec-number&gt;&lt;foreign-keys&gt;&lt;key app="EN" db-id="rs5a55vvspxz5uespwzvws0ppwexpv9rr5re" timestamp="1740752262"&gt;461&lt;/key&gt;&lt;/foreign-keys&gt;&lt;ref-type name="Journal Article"&gt;17&lt;/ref-type&gt;&lt;contributors&gt;&lt;authors&gt;&lt;author&gt;Yamamoto-Furusho, J. K.&lt;/author&gt;&lt;author&gt;Gutiérrez-Grobe, Y.&lt;/author&gt;&lt;author&gt;López-Gómez, J. G.&lt;/author&gt;&lt;author&gt;Bosques-Padilla, F.&lt;/author&gt;&lt;author&gt;Rocha-Ramírez, J. L.&lt;/author&gt;&lt;/authors&gt;&lt;/contributors&gt;&lt;titles&gt;&lt;title&gt;The Mexican consensus on the diagnosis and treatment of ulcerative colitis&lt;/title&gt;&lt;secondary-title&gt;Revista de Gastroenterología de México (English Edition)&lt;/secondary-title&gt;&lt;/titles&gt;&lt;periodical&gt;&lt;full-title&gt;Revista de Gastroenterología de México (English Edition)&lt;/full-title&gt;&lt;/periodical&gt;&lt;pages&gt;144-167&lt;/pages&gt;&lt;volume&gt;83&lt;/volume&gt;&lt;number&gt;2&lt;/number&gt;&lt;keywords&gt;&lt;keyword&gt;Chronic idiopathic ulcerative colitis&lt;/keyword&gt;&lt;keyword&gt;Diagnosis&lt;/keyword&gt;&lt;keyword&gt;Treatment&lt;/keyword&gt;&lt;keyword&gt;Epidemiology&lt;/keyword&gt;&lt;keyword&gt;Colectomy&lt;/keyword&gt;&lt;keyword&gt;Pouchitis&lt;/keyword&gt;&lt;keyword&gt;Colitis ulcerosa crónica idiopática&lt;/keyword&gt;&lt;keyword&gt;Diagnóstico&lt;/keyword&gt;&lt;keyword&gt;Tratamiento&lt;/keyword&gt;&lt;keyword&gt;Epidemiología&lt;/keyword&gt;&lt;keyword&gt;Colectomía&lt;/keyword&gt;&lt;/keywords&gt;&lt;dates&gt;&lt;year&gt;2018&lt;/year&gt;&lt;pub-dates&gt;&lt;date&gt;2018/04/01/&lt;/date&gt;&lt;/pub-dates&gt;&lt;/dates&gt;&lt;isbn&gt;2255-534X&lt;/isbn&gt;&lt;urls&gt;&lt;related-urls&gt;&lt;url&gt;https://www.sciencedirect.com/science/article/pii/S2255534X18300367&lt;/url&gt;&lt;/related-urls&gt;&lt;/urls&gt;&lt;electronic-resource-num&gt;https://doi.org/10.1016/j.rgmxen.2018.04.001&lt;/electronic-resource-num&gt;&lt;/record&gt;&lt;/Cite&gt;&lt;/EndNote&gt;</w:instrText>
            </w:r>
            <w:r>
              <w:rPr>
                <w:rFonts w:eastAsia="Calibri" w:cs="Times New Roman"/>
                <w:kern w:val="2"/>
                <w:sz w:val="20"/>
                <w:szCs w:val="20"/>
                <w:lang w:val="en-US" w:eastAsia="en-US" w:bidi="ar-SA"/>
              </w:rPr>
            </w:r>
            <w:r>
              <w:rPr>
                <w:sz w:val="20"/>
                <w:kern w:val="2"/>
                <w:szCs w:val="20"/>
                <w:rFonts w:eastAsia="Calibri" w:cs="Times New Roman"/>
                <w:lang w:val="en-US" w:eastAsia="en-US" w:bidi="ar-SA"/>
              </w:rPr>
              <w:fldChar w:fldCharType="separate"/>
            </w:r>
            <w:r>
              <w:rPr>
                <w:rFonts w:eastAsia="Calibri" w:cs="Times New Roman"/>
                <w:kern w:val="2"/>
                <w:sz w:val="20"/>
                <w:szCs w:val="20"/>
                <w:lang w:val="en-US" w:eastAsia="en-US" w:bidi="ar-SA"/>
              </w:rPr>
            </w:r>
            <w:r>
              <w:rPr>
                <w:rFonts w:eastAsia="Calibri" w:cs="Times New Roman"/>
                <w:kern w:val="2"/>
                <w:sz w:val="20"/>
                <w:szCs w:val="20"/>
                <w:vertAlign w:val="superscript"/>
                <w:lang w:val="en-US" w:eastAsia="en-US" w:bidi="ar-SA"/>
              </w:rPr>
              <w:t>50</w:t>
            </w:r>
            <w:r/>
            <w:r>
              <w:rPr>
                <w:sz w:val="20"/>
                <w:kern w:val="2"/>
                <w:szCs w:val="20"/>
                <w:rFonts w:eastAsia="Calibri" w:cs="Times New Roman"/>
                <w:lang w:val="en-US" w:eastAsia="en-US" w:bidi="ar-SA"/>
              </w:rPr>
              <w:fldChar w:fldCharType="end"/>
            </w:r>
            <w:r>
              <w:rPr>
                <w:rFonts w:eastAsia="Calibri" w:cs="Times New Roman"/>
                <w:kern w:val="2"/>
                <w:sz w:val="20"/>
                <w:szCs w:val="20"/>
                <w:lang w:val="en-US" w:eastAsia="en-US" w:bidi="ar-SA"/>
              </w:rPr>
            </w:r>
          </w:p>
        </w:tc>
        <w:tc>
          <w:tcPr>
            <w:tcW w:w="5562" w:type="dxa"/>
            <w:tcBorders/>
          </w:tcPr>
          <w:p>
            <w:pPr>
              <w:pStyle w:val="Normal"/>
              <w:widowControl/>
              <w:bidi w:val="0"/>
              <w:spacing w:lineRule="auto" w:line="360" w:before="0" w:after="0"/>
              <w:jc w:val="start"/>
              <w:rPr>
                <w:lang w:val="en-US"/>
              </w:rPr>
            </w:pPr>
            <w:r>
              <w:rPr>
                <w:rFonts w:eastAsia="Calibri" w:cs="Times New Roman"/>
                <w:kern w:val="2"/>
                <w:sz w:val="20"/>
                <w:szCs w:val="20"/>
                <w:lang w:val="en-US" w:eastAsia="en-US" w:bidi="ar-SA"/>
              </w:rPr>
              <w:t>Not mentioned.</w:t>
            </w:r>
          </w:p>
        </w:tc>
        <w:tc>
          <w:tcPr>
            <w:tcW w:w="4678" w:type="dxa"/>
            <w:tcBorders/>
          </w:tcPr>
          <w:p>
            <w:pPr>
              <w:pStyle w:val="Normal"/>
              <w:widowControl/>
              <w:bidi w:val="0"/>
              <w:spacing w:lineRule="auto" w:line="360" w:before="0" w:after="0"/>
              <w:jc w:val="start"/>
              <w:rPr>
                <w:lang w:val="en-US"/>
              </w:rPr>
            </w:pPr>
            <w:r>
              <w:rPr>
                <w:rFonts w:eastAsia="Calibri" w:cs="Times New Roman"/>
                <w:kern w:val="2"/>
                <w:sz w:val="20"/>
                <w:szCs w:val="20"/>
                <w:lang w:val="en-US" w:eastAsia="en-US" w:bidi="ar-SA"/>
              </w:rPr>
              <w:t>Not mentioned.</w:t>
            </w:r>
          </w:p>
        </w:tc>
        <w:tc>
          <w:tcPr>
            <w:tcW w:w="2804" w:type="dxa"/>
            <w:tcBorders/>
          </w:tcPr>
          <w:p>
            <w:pPr>
              <w:pStyle w:val="Normal"/>
              <w:widowControl/>
              <w:bidi w:val="0"/>
              <w:spacing w:lineRule="auto" w:line="360" w:before="0" w:after="0"/>
              <w:jc w:val="start"/>
              <w:rPr>
                <w:lang w:val="en-US"/>
              </w:rPr>
            </w:pPr>
            <w:r>
              <w:rPr>
                <w:rFonts w:eastAsia="Calibri" w:cs="Times New Roman"/>
                <w:kern w:val="2"/>
                <w:sz w:val="20"/>
                <w:szCs w:val="20"/>
                <w:lang w:val="en-US" w:eastAsia="en-US" w:bidi="ar-SA"/>
              </w:rPr>
              <w:t>Not mentioned.</w:t>
            </w:r>
          </w:p>
        </w:tc>
      </w:tr>
      <w:tr>
        <w:trPr>
          <w:trHeight w:val="350" w:hRule="atLeast"/>
        </w:trPr>
        <w:tc>
          <w:tcPr>
            <w:tcW w:w="1804" w:type="dxa"/>
            <w:tcBorders/>
          </w:tcPr>
          <w:p>
            <w:pPr>
              <w:pStyle w:val="Normal"/>
              <w:widowControl/>
              <w:bidi w:val="0"/>
              <w:spacing w:lineRule="auto" w:line="360" w:before="0" w:after="0"/>
              <w:jc w:val="start"/>
              <w:rPr>
                <w:lang w:val="en-US"/>
              </w:rPr>
            </w:pPr>
            <w:r>
              <w:rPr>
                <w:rFonts w:eastAsia="Calibri" w:cs="Times New Roman"/>
                <w:kern w:val="2"/>
                <w:sz w:val="20"/>
                <w:szCs w:val="20"/>
                <w:lang w:val="en-US" w:eastAsia="en-US" w:bidi="ar-SA"/>
              </w:rPr>
              <w:t>Yamamoto et al.</w:t>
            </w:r>
            <w:r>
              <w:fldChar w:fldCharType="begin"/>
            </w:r>
            <w:r>
              <w:rPr>
                <w:sz w:val="20"/>
                <w:kern w:val="2"/>
                <w:szCs w:val="20"/>
                <w:rFonts w:eastAsia="Calibri" w:cs="Times New Roman"/>
                <w:lang w:val="en-US" w:eastAsia="en-US" w:bidi="ar-SA"/>
              </w:rPr>
              <w:instrText xml:space="preserve">ADDIN EN.CITE</w:instrText>
            </w:r>
            <w:r>
              <w:rPr>
                <w:rFonts w:eastAsia="Calibri" w:cs="Times New Roman"/>
                <w:kern w:val="2"/>
                <w:sz w:val="20"/>
                <w:szCs w:val="20"/>
                <w:lang w:val="en-US" w:eastAsia="en-US" w:bidi="ar-SA"/>
              </w:rPr>
            </w:r>
            <w:r>
              <w:fldChar w:fldCharType="begin"/>
            </w:r>
            <w:r>
              <w:rPr>
                <w:sz w:val="20"/>
                <w:kern w:val="2"/>
                <w:szCs w:val="20"/>
                <w:rFonts w:eastAsia="Calibri" w:cs="Times New Roman"/>
                <w:lang w:val="en-US" w:eastAsia="en-US" w:bidi="ar-SA"/>
              </w:rPr>
              <w:instrText xml:space="preserve">ADDIN EN.CITE.DATA</w:instrText>
            </w:r>
            <w:r>
              <w:rPr>
                <w:rFonts w:eastAsia="Calibri" w:cs="Times New Roman"/>
                <w:kern w:val="2"/>
                <w:sz w:val="20"/>
                <w:szCs w:val="20"/>
                <w:lang w:val="en-US" w:eastAsia="en-US" w:bidi="ar-SA"/>
              </w:rPr>
            </w:r>
            <w:r>
              <w:rPr>
                <w:sz w:val="20"/>
                <w:kern w:val="2"/>
                <w:szCs w:val="20"/>
                <w:rFonts w:eastAsia="Calibri" w:cs="Times New Roman"/>
                <w:lang w:val="en-US" w:eastAsia="en-US" w:bidi="ar-SA"/>
              </w:rPr>
              <w:fldChar w:fldCharType="separate"/>
            </w:r>
            <w:r>
              <w:rPr>
                <w:rFonts w:eastAsia="Calibri" w:cs="Times New Roman"/>
                <w:kern w:val="2"/>
                <w:sz w:val="20"/>
                <w:szCs w:val="20"/>
                <w:lang w:val="en-US" w:eastAsia="en-US" w:bidi="ar-SA"/>
              </w:rPr>
            </w:r>
            <w:r>
              <w:rPr>
                <w:rFonts w:eastAsia="Calibri" w:cs="Times New Roman"/>
                <w:kern w:val="2"/>
                <w:sz w:val="20"/>
                <w:szCs w:val="20"/>
                <w:lang w:val="en-US" w:eastAsia="en-US" w:bidi="ar-SA"/>
              </w:rPr>
            </w:r>
            <w:r>
              <w:rPr>
                <w:sz w:val="20"/>
                <w:kern w:val="2"/>
                <w:szCs w:val="20"/>
                <w:rFonts w:eastAsia="Calibri" w:cs="Times New Roman"/>
                <w:lang w:val="en-US" w:eastAsia="en-US" w:bidi="ar-SA"/>
              </w:rPr>
              <w:fldChar w:fldCharType="end"/>
            </w:r>
            <w:r>
              <w:rPr>
                <w:sz w:val="20"/>
                <w:kern w:val="2"/>
                <w:szCs w:val="20"/>
                <w:rFonts w:eastAsia="Calibri" w:cs="Times New Roman"/>
                <w:lang w:val="en-US" w:eastAsia="en-US" w:bidi="ar-SA"/>
              </w:rPr>
              <w:fldChar w:fldCharType="separate"/>
            </w:r>
            <w:r>
              <w:rPr>
                <w:rFonts w:eastAsia="Calibri" w:cs="Times New Roman"/>
                <w:kern w:val="2"/>
                <w:sz w:val="20"/>
                <w:szCs w:val="20"/>
                <w:lang w:val="en-US" w:eastAsia="en-US" w:bidi="ar-SA"/>
              </w:rPr>
            </w:r>
            <w:r>
              <w:rPr>
                <w:rFonts w:eastAsia="Calibri" w:cs="Times New Roman"/>
                <w:kern w:val="2"/>
                <w:sz w:val="20"/>
                <w:szCs w:val="20"/>
                <w:vertAlign w:val="superscript"/>
                <w:lang w:val="en-US" w:eastAsia="en-US" w:bidi="ar-SA"/>
              </w:rPr>
              <w:t>51</w:t>
            </w:r>
            <w:r/>
            <w:r>
              <w:rPr>
                <w:sz w:val="20"/>
                <w:kern w:val="2"/>
                <w:szCs w:val="20"/>
                <w:rFonts w:eastAsia="Calibri" w:cs="Times New Roman"/>
                <w:lang w:val="en-US" w:eastAsia="en-US" w:bidi="ar-SA"/>
              </w:rPr>
              <w:fldChar w:fldCharType="end"/>
            </w:r>
            <w:r>
              <w:rPr>
                <w:rFonts w:eastAsia="Calibri" w:cs="Times New Roman"/>
                <w:kern w:val="2"/>
                <w:sz w:val="20"/>
                <w:szCs w:val="20"/>
                <w:lang w:val="en-US" w:eastAsia="en-US" w:bidi="ar-SA"/>
              </w:rPr>
            </w:r>
          </w:p>
        </w:tc>
        <w:tc>
          <w:tcPr>
            <w:tcW w:w="5562" w:type="dxa"/>
            <w:tcBorders/>
          </w:tcPr>
          <w:p>
            <w:pPr>
              <w:pStyle w:val="Normal"/>
              <w:widowControl/>
              <w:bidi w:val="0"/>
              <w:spacing w:lineRule="auto" w:line="360" w:before="0" w:after="0"/>
              <w:jc w:val="start"/>
              <w:rPr>
                <w:lang w:val="en-US"/>
              </w:rPr>
            </w:pPr>
            <w:r>
              <w:rPr>
                <w:rFonts w:eastAsia="Calibri" w:cs="Times New Roman"/>
                <w:kern w:val="2"/>
                <w:sz w:val="20"/>
                <w:szCs w:val="20"/>
                <w:lang w:val="en-US" w:eastAsia="en-US" w:bidi="ar-SA"/>
              </w:rPr>
              <w:t>Not mentioned.</w:t>
            </w:r>
          </w:p>
        </w:tc>
        <w:tc>
          <w:tcPr>
            <w:tcW w:w="4678" w:type="dxa"/>
            <w:tcBorders/>
          </w:tcPr>
          <w:p>
            <w:pPr>
              <w:pStyle w:val="Normal"/>
              <w:widowControl/>
              <w:bidi w:val="0"/>
              <w:spacing w:lineRule="auto" w:line="360" w:before="0" w:after="0"/>
              <w:jc w:val="start"/>
              <w:rPr>
                <w:lang w:val="en-US"/>
              </w:rPr>
            </w:pPr>
            <w:r>
              <w:rPr>
                <w:rFonts w:eastAsia="Calibri" w:cs="Times New Roman"/>
                <w:kern w:val="2"/>
                <w:sz w:val="20"/>
                <w:szCs w:val="20"/>
                <w:lang w:val="en-US" w:eastAsia="en-US" w:bidi="ar-SA"/>
              </w:rPr>
              <w:t>Not mentioned.</w:t>
            </w:r>
          </w:p>
        </w:tc>
        <w:tc>
          <w:tcPr>
            <w:tcW w:w="2804" w:type="dxa"/>
            <w:tcBorders/>
          </w:tcPr>
          <w:p>
            <w:pPr>
              <w:pStyle w:val="Normal"/>
              <w:widowControl/>
              <w:bidi w:val="0"/>
              <w:spacing w:lineRule="auto" w:line="360" w:before="0" w:after="0"/>
              <w:jc w:val="start"/>
              <w:rPr>
                <w:lang w:val="en-US"/>
              </w:rPr>
            </w:pPr>
            <w:r>
              <w:rPr>
                <w:rFonts w:eastAsia="Calibri" w:cs="Times New Roman"/>
                <w:kern w:val="2"/>
                <w:sz w:val="20"/>
                <w:szCs w:val="20"/>
                <w:lang w:val="en-US" w:eastAsia="en-US" w:bidi="ar-SA"/>
              </w:rPr>
              <w:t>Not mentioned.</w:t>
            </w:r>
          </w:p>
        </w:tc>
      </w:tr>
    </w:tbl>
    <w:p>
      <w:pPr>
        <w:pStyle w:val="Normal"/>
        <w:bidi w:val="0"/>
        <w:spacing w:lineRule="auto" w:line="360"/>
        <w:jc w:val="start"/>
        <w:rPr>
          <w:lang w:val="en-US"/>
        </w:rPr>
      </w:pPr>
      <w:r>
        <w:rPr>
          <w:lang w:val="en-US"/>
        </w:rPr>
      </w:r>
    </w:p>
    <w:sectPr>
      <w:type w:val="nextPage"/>
      <w:pgSz w:w="12240" w:h="15840"/>
      <w:pgMar w:left="100" w:right="40"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Liberation Sans">
    <w:altName w:val="Arial"/>
    <w:charset w:val="00" w:characterSet="windows-1252"/>
    <w:family w:val="swiss"/>
    <w:pitch w:val="variable"/>
  </w:font>
  <w:font w:name="Wingdings">
    <w:charset w:val="02"/>
    <w:family w:val="auto"/>
    <w:pitch w:val="variable"/>
  </w:font>
  <w:font w:name="Courier New">
    <w:charset w:val="01"/>
    <w:family w:val="modern"/>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0"/>
        </w:tabs>
        <w:ind w:start="720" w:hanging="360"/>
      </w:pPr>
      <w:rPr>
        <w:rFonts w:ascii="Wingdings" w:hAnsi="Wingdings" w:cs="Wingdings"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2">
    <w:lvl w:ilvl="0">
      <w:start w:val="1"/>
      <w:numFmt w:val="bullet"/>
      <w:lvlText w:val=""/>
      <w:lvlJc w:val="start"/>
      <w:pPr>
        <w:tabs>
          <w:tab w:val="num" w:pos="0"/>
        </w:tabs>
        <w:ind w:start="720" w:hanging="360"/>
      </w:pPr>
      <w:rPr>
        <w:rFonts w:ascii="Wingdings" w:hAnsi="Wingdings" w:cs="Wingdings"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60"/>
  <w:defaultTabStop w:val="709"/>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US"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Lucida Sans"/>
      <w:color w:val="auto"/>
      <w:kern w:val="2"/>
      <w:sz w:val="24"/>
      <w:szCs w:val="24"/>
      <w:lang w:val="en-US" w:eastAsia="zh-CN" w:bidi="hi-IN"/>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qFormat/>
    <w:pPr>
      <w:ind w:start="708"/>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TotalTime>
  <Application>LibreOffice/25.2.4.3$Windows_X86_64 LibreOffice_project/33e196637044ead23f5c3226cde09b47731f7e27</Application>
  <AppVersion>15.0000</AppVersion>
  <Pages>6</Pages>
  <Words>1909</Words>
  <Characters>11515</Characters>
  <CharactersWithSpaces>13244</CharactersWithSpaces>
  <Paragraphs>169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2025-07-31T11:19:22Z</dcterms:created>
  <dc:creator/>
  <dc:description/>
  <dc:language>en-US</dc:language>
  <cp:lastModifiedBy/>
  <dcterms:modified xsi:type="dcterms:W3CDTF">2025-07-31T11:20:24Z</dcterms:modified>
  <cp:revision>1</cp:revision>
  <dc:subject/>
  <dc:title/>
</cp:coreProperties>
</file>